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0224"/>
      </w:tblGrid>
      <w:tr w:rsidR="00360540" w:rsidTr="00360540">
        <w:trPr>
          <w:tblCellSpacing w:w="15" w:type="dxa"/>
          <w:jc w:val="center"/>
        </w:trPr>
        <w:tc>
          <w:tcPr>
            <w:tcW w:w="0" w:type="auto"/>
            <w:vAlign w:val="center"/>
            <w:hideMark/>
          </w:tcPr>
          <w:p w:rsidR="00360540" w:rsidRDefault="00360540">
            <w:pPr>
              <w:jc w:val="center"/>
            </w:pPr>
            <w:r>
              <w:rPr>
                <w:noProof/>
              </w:rPr>
              <w:drawing>
                <wp:inline distT="0" distB="0" distL="0" distR="0">
                  <wp:extent cx="7620000" cy="1190625"/>
                  <wp:effectExtent l="0" t="0" r="0" b="9525"/>
                  <wp:docPr id="10" name="Picture 10" descr="MT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O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1190625"/>
                          </a:xfrm>
                          <a:prstGeom prst="rect">
                            <a:avLst/>
                          </a:prstGeom>
                          <a:noFill/>
                          <a:ln>
                            <a:noFill/>
                          </a:ln>
                        </pic:spPr>
                      </pic:pic>
                    </a:graphicData>
                  </a:graphic>
                </wp:inline>
              </w:drawing>
            </w:r>
          </w:p>
          <w:p w:rsidR="00360540" w:rsidRDefault="00360540">
            <w:pPr>
              <w:pStyle w:val="NormalWeb"/>
              <w:jc w:val="center"/>
            </w:pPr>
            <w:r>
              <w:rPr>
                <w:rFonts w:ascii="Arial" w:hAnsi="Arial" w:cs="Arial"/>
                <w:b/>
                <w:bCs/>
              </w:rPr>
              <w:t xml:space="preserve">MTO 7.3 Examples: Wannamaker, Structure and Perception in </w:t>
            </w:r>
            <w:r>
              <w:rPr>
                <w:rFonts w:ascii="Arial" w:hAnsi="Arial" w:cs="Arial"/>
                <w:b/>
                <w:bCs/>
                <w:i/>
                <w:iCs/>
              </w:rPr>
              <w:t>Herma</w:t>
            </w:r>
            <w:r>
              <w:rPr>
                <w:rFonts w:ascii="Arial" w:hAnsi="Arial" w:cs="Arial"/>
                <w:b/>
                <w:bCs/>
              </w:rPr>
              <w:t xml:space="preserve"> by </w:t>
            </w:r>
            <w:proofErr w:type="spellStart"/>
            <w:r>
              <w:rPr>
                <w:rFonts w:ascii="Arial" w:hAnsi="Arial" w:cs="Arial"/>
                <w:b/>
                <w:bCs/>
              </w:rPr>
              <w:t>Iannis</w:t>
            </w:r>
            <w:proofErr w:type="spellEnd"/>
            <w:r>
              <w:rPr>
                <w:rFonts w:ascii="Arial" w:hAnsi="Arial" w:cs="Arial"/>
                <w:b/>
                <w:bCs/>
              </w:rPr>
              <w:t xml:space="preserve"> </w:t>
            </w:r>
            <w:proofErr w:type="spellStart"/>
            <w:r>
              <w:rPr>
                <w:rFonts w:ascii="Arial" w:hAnsi="Arial" w:cs="Arial"/>
                <w:b/>
                <w:bCs/>
              </w:rPr>
              <w:t>Xenakis</w:t>
            </w:r>
            <w:proofErr w:type="spellEnd"/>
          </w:p>
          <w:p w:rsidR="00360540" w:rsidRDefault="00360540">
            <w:pPr>
              <w:pStyle w:val="NormalWeb"/>
              <w:jc w:val="center"/>
            </w:pPr>
            <w:r>
              <w:t>(Note: audio, video, and other interactive examples are only available online)</w:t>
            </w:r>
            <w:r>
              <w:br/>
            </w:r>
            <w:hyperlink r:id="rId6" w:history="1">
              <w:r>
                <w:rPr>
                  <w:rStyle w:val="Hyperlink"/>
                </w:rPr>
                <w:t>http://www.mtosmt.org/issues/mto.01.7.3/mto.01.7.3.wannamaker.php</w:t>
              </w:r>
            </w:hyperlink>
          </w:p>
        </w:tc>
      </w:tr>
    </w:tbl>
    <w:p w:rsidR="00360540" w:rsidRDefault="00360540" w:rsidP="00360540">
      <w:pPr>
        <w:pStyle w:val="NormalWeb"/>
      </w:pPr>
      <w:r>
        <w:rPr>
          <w:b/>
          <w:bCs/>
        </w:rPr>
        <w:t xml:space="preserve">Figure 1. </w:t>
      </w:r>
      <w:r>
        <w:t xml:space="preserve">Graphical demonstration of equivalence for the two representations of the set </w:t>
      </w:r>
      <w:r>
        <w:rPr>
          <w:i/>
          <w:iCs/>
        </w:rPr>
        <w:t>F</w:t>
      </w:r>
      <w:r>
        <w:t xml:space="preserve"> given by Equations 1 and 2 (after </w:t>
      </w:r>
      <w:proofErr w:type="spellStart"/>
      <w:r>
        <w:t>Xenakis</w:t>
      </w:r>
      <w:proofErr w:type="spellEnd"/>
      <w:r>
        <w:t xml:space="preserve">, </w:t>
      </w:r>
      <w:r>
        <w:rPr>
          <w:i/>
          <w:iCs/>
        </w:rPr>
        <w:t>Formalized Music</w:t>
      </w:r>
      <w:r>
        <w:t>)</w:t>
      </w:r>
    </w:p>
    <w:p w:rsidR="00360540" w:rsidRDefault="00360540" w:rsidP="00360540">
      <w:pPr>
        <w:jc w:val="center"/>
      </w:pPr>
      <w:r>
        <w:rPr>
          <w:noProof/>
        </w:rPr>
        <w:drawing>
          <wp:inline distT="0" distB="0" distL="0" distR="0">
            <wp:extent cx="7581900" cy="5514975"/>
            <wp:effectExtent l="0" t="0" r="0" b="9525"/>
            <wp:docPr id="9" name="Picture 9" descr="http://mtosmt.org/retrofit/mto.01.7.3/wannamaker_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tosmt.org/retrofit/mto.01.7.3/wannamaker_fig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0" cy="5514975"/>
                    </a:xfrm>
                    <a:prstGeom prst="rect">
                      <a:avLst/>
                    </a:prstGeom>
                    <a:noFill/>
                    <a:ln>
                      <a:noFill/>
                    </a:ln>
                  </pic:spPr>
                </pic:pic>
              </a:graphicData>
            </a:graphic>
          </wp:inline>
        </w:drawing>
      </w:r>
    </w:p>
    <w:p w:rsidR="00360540" w:rsidRDefault="00360540" w:rsidP="00360540"/>
    <w:p w:rsidR="00360540" w:rsidRDefault="00360540" w:rsidP="00360540">
      <w:pPr>
        <w:pStyle w:val="NormalWeb"/>
      </w:pPr>
      <w:r>
        <w:rPr>
          <w:b/>
          <w:bCs/>
        </w:rPr>
        <w:lastRenderedPageBreak/>
        <w:t xml:space="preserve">Figure 2. </w:t>
      </w:r>
      <w:r>
        <w:t xml:space="preserve">Temporal flow chart for </w:t>
      </w:r>
      <w:r>
        <w:rPr>
          <w:i/>
          <w:iCs/>
        </w:rPr>
        <w:t>Herma</w:t>
      </w:r>
      <w:r>
        <w:t xml:space="preserve"> indicating changes in musical parameters, perceived high-level temporal gestalts, and different pitch sets articulated over the course of the work. The dynamic curve is multiple valued where multiple dynamics are marked simultaneously. Times are taken from Yuji Takahashi's </w:t>
      </w:r>
      <w:proofErr w:type="spellStart"/>
      <w:r>
        <w:t>Denon</w:t>
      </w:r>
      <w:proofErr w:type="spellEnd"/>
      <w:r>
        <w:t xml:space="preserve"> recording (</w:t>
      </w:r>
      <w:proofErr w:type="spellStart"/>
      <w:r>
        <w:t>Iannis</w:t>
      </w:r>
      <w:proofErr w:type="spellEnd"/>
      <w:r>
        <w:t xml:space="preserve"> </w:t>
      </w:r>
      <w:proofErr w:type="spellStart"/>
      <w:r>
        <w:t>Xenakis</w:t>
      </w:r>
      <w:proofErr w:type="spellEnd"/>
      <w:r>
        <w:t xml:space="preserve">, </w:t>
      </w:r>
      <w:r>
        <w:rPr>
          <w:i/>
          <w:iCs/>
        </w:rPr>
        <w:t>Herma</w:t>
      </w:r>
      <w:r>
        <w:t xml:space="preserve">, Yuji Takahashi, piano. </w:t>
      </w:r>
      <w:proofErr w:type="spellStart"/>
      <w:r>
        <w:t>Denon</w:t>
      </w:r>
      <w:proofErr w:type="spellEnd"/>
      <w:r>
        <w:t xml:space="preserve"> 33CO-1052 [1972]. Compact disc.)</w:t>
      </w:r>
    </w:p>
    <w:p w:rsidR="00360540" w:rsidRDefault="00360540" w:rsidP="00360540">
      <w:pPr>
        <w:jc w:val="center"/>
      </w:pPr>
      <w:r>
        <w:rPr>
          <w:noProof/>
        </w:rPr>
        <w:drawing>
          <wp:inline distT="0" distB="0" distL="0" distR="0">
            <wp:extent cx="7353300" cy="4962525"/>
            <wp:effectExtent l="0" t="0" r="0" b="9525"/>
            <wp:docPr id="8" name="Picture 8" descr="http://mtosmt.org/retrofit/mto.01.7.3/wannamaker_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tosmt.org/retrofit/mto.01.7.3/wannamaker_fig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3300" cy="4962525"/>
                    </a:xfrm>
                    <a:prstGeom prst="rect">
                      <a:avLst/>
                    </a:prstGeom>
                    <a:noFill/>
                    <a:ln>
                      <a:noFill/>
                    </a:ln>
                  </pic:spPr>
                </pic:pic>
              </a:graphicData>
            </a:graphic>
          </wp:inline>
        </w:drawing>
      </w:r>
    </w:p>
    <w:p w:rsidR="00360540" w:rsidRDefault="00360540" w:rsidP="00360540">
      <w:r>
        <w:br/>
      </w:r>
      <w:r>
        <w:br/>
      </w:r>
    </w:p>
    <w:p w:rsidR="00360540" w:rsidRDefault="00360540">
      <w:pPr>
        <w:rPr>
          <w:rFonts w:ascii="Times New Roman" w:eastAsia="Times New Roman" w:hAnsi="Times New Roman" w:cs="Times New Roman"/>
          <w:b/>
          <w:bCs/>
          <w:sz w:val="24"/>
          <w:szCs w:val="24"/>
        </w:rPr>
      </w:pPr>
      <w:r>
        <w:rPr>
          <w:b/>
          <w:bCs/>
        </w:rPr>
        <w:br w:type="page"/>
      </w:r>
    </w:p>
    <w:p w:rsidR="00360540" w:rsidRDefault="00360540" w:rsidP="00360540">
      <w:pPr>
        <w:pStyle w:val="NormalWeb"/>
      </w:pPr>
      <w:r>
        <w:rPr>
          <w:b/>
          <w:bCs/>
        </w:rPr>
        <w:lastRenderedPageBreak/>
        <w:t xml:space="preserve">Figure 3. </w:t>
      </w:r>
      <w:r>
        <w:t xml:space="preserve">Pitch occurrence frequencies within specific pitch sets articulated in Herma Bullets indicate notes which did not occur in the given section. Shaded areas represent “best-guess” versions of the sets </w:t>
      </w:r>
      <w:r>
        <w:rPr>
          <w:i/>
          <w:iCs/>
        </w:rPr>
        <w:t>A</w:t>
      </w:r>
      <w:r>
        <w:t xml:space="preserve">, </w:t>
      </w:r>
      <w:r>
        <w:rPr>
          <w:i/>
          <w:iCs/>
        </w:rPr>
        <w:t>B</w:t>
      </w:r>
      <w:r>
        <w:t xml:space="preserve"> and </w:t>
      </w:r>
      <w:r>
        <w:rPr>
          <w:i/>
          <w:iCs/>
        </w:rPr>
        <w:t>C</w:t>
      </w:r>
      <w:r>
        <w:t xml:space="preserve"> and sets algebraically computed from them. As in hexadecimal notation, the decimal numbers 10, 11, 12 . . . are represented by the capital letters </w:t>
      </w:r>
      <w:r>
        <w:rPr>
          <w:i/>
          <w:iCs/>
        </w:rPr>
        <w:t>A</w:t>
      </w:r>
      <w:r>
        <w:t xml:space="preserve">, </w:t>
      </w:r>
      <w:r>
        <w:rPr>
          <w:i/>
          <w:iCs/>
        </w:rPr>
        <w:t>B</w:t>
      </w:r>
      <w:r>
        <w:t xml:space="preserve">, </w:t>
      </w:r>
      <w:r>
        <w:rPr>
          <w:i/>
          <w:iCs/>
        </w:rPr>
        <w:t>C</w:t>
      </w:r>
      <w:r>
        <w:t xml:space="preserve"> . . . so that all entries in the table are single characters.</w:t>
      </w:r>
    </w:p>
    <w:p w:rsidR="00360540" w:rsidRDefault="00360540" w:rsidP="00360540">
      <w:pPr>
        <w:jc w:val="center"/>
      </w:pPr>
      <w:r>
        <w:rPr>
          <w:noProof/>
        </w:rPr>
        <w:drawing>
          <wp:inline distT="0" distB="0" distL="0" distR="0">
            <wp:extent cx="6848475" cy="4352925"/>
            <wp:effectExtent l="0" t="0" r="9525" b="9525"/>
            <wp:docPr id="7" name="Picture 7" descr="http://mtosmt.org/retrofit/mto.01.7.3/wannamaker_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tosmt.org/retrofit/mto.01.7.3/wannamaker_fig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8475" cy="4352925"/>
                    </a:xfrm>
                    <a:prstGeom prst="rect">
                      <a:avLst/>
                    </a:prstGeom>
                    <a:noFill/>
                    <a:ln>
                      <a:noFill/>
                    </a:ln>
                  </pic:spPr>
                </pic:pic>
              </a:graphicData>
            </a:graphic>
          </wp:inline>
        </w:drawing>
      </w:r>
    </w:p>
    <w:p w:rsidR="00360540" w:rsidRDefault="00360540" w:rsidP="00360540">
      <w:r>
        <w:br/>
      </w:r>
      <w:r>
        <w:br/>
      </w:r>
    </w:p>
    <w:p w:rsidR="00360540" w:rsidRDefault="00360540">
      <w:pPr>
        <w:rPr>
          <w:rFonts w:ascii="Times New Roman" w:eastAsia="Times New Roman" w:hAnsi="Times New Roman" w:cs="Times New Roman"/>
          <w:b/>
          <w:bCs/>
          <w:sz w:val="24"/>
          <w:szCs w:val="24"/>
        </w:rPr>
      </w:pPr>
      <w:r>
        <w:rPr>
          <w:b/>
          <w:bCs/>
        </w:rPr>
        <w:br w:type="page"/>
      </w:r>
    </w:p>
    <w:p w:rsidR="00360540" w:rsidRDefault="00360540" w:rsidP="00360540">
      <w:pPr>
        <w:pStyle w:val="NormalWeb"/>
      </w:pPr>
      <w:r>
        <w:rPr>
          <w:b/>
          <w:bCs/>
        </w:rPr>
        <w:lastRenderedPageBreak/>
        <w:t xml:space="preserve">Figure 4. </w:t>
      </w:r>
      <w:r>
        <w:t xml:space="preserve">Score excerpt from </w:t>
      </w:r>
      <w:r>
        <w:rPr>
          <w:i/>
          <w:iCs/>
        </w:rPr>
        <w:t>Herma</w:t>
      </w:r>
      <w:r>
        <w:t xml:space="preserve"> showing the last four measures of the exposition of set </w:t>
      </w:r>
      <w:r>
        <w:rPr>
          <w:i/>
          <w:iCs/>
        </w:rPr>
        <w:t>A</w:t>
      </w:r>
      <w:r>
        <w:t xml:space="preserve"> indicating clangs (circled) and sequences (tied)</w:t>
      </w:r>
    </w:p>
    <w:p w:rsidR="00360540" w:rsidRDefault="00360540" w:rsidP="00360540">
      <w:pPr>
        <w:jc w:val="center"/>
      </w:pPr>
      <w:r>
        <w:br/>
      </w:r>
      <w:r>
        <w:rPr>
          <w:noProof/>
        </w:rPr>
        <w:drawing>
          <wp:inline distT="0" distB="0" distL="0" distR="0">
            <wp:extent cx="7620000" cy="5400675"/>
            <wp:effectExtent l="4762" t="0" r="4763" b="4762"/>
            <wp:docPr id="6" name="Picture 6" descr="http://mtosmt.org/retrofit/mto.01.7.3/wannamaker_f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tosmt.org/retrofit/mto.01.7.3/wannamaker_fig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7620000" cy="5400675"/>
                    </a:xfrm>
                    <a:prstGeom prst="rect">
                      <a:avLst/>
                    </a:prstGeom>
                    <a:noFill/>
                    <a:ln>
                      <a:noFill/>
                    </a:ln>
                  </pic:spPr>
                </pic:pic>
              </a:graphicData>
            </a:graphic>
          </wp:inline>
        </w:drawing>
      </w:r>
    </w:p>
    <w:p w:rsidR="00360540" w:rsidRDefault="00360540" w:rsidP="00360540"/>
    <w:p w:rsidR="00360540" w:rsidRDefault="00360540" w:rsidP="00360540">
      <w:pPr>
        <w:pStyle w:val="NormalWeb"/>
      </w:pPr>
      <w:r>
        <w:rPr>
          <w:b/>
          <w:bCs/>
        </w:rPr>
        <w:lastRenderedPageBreak/>
        <w:t xml:space="preserve">Figure 5. </w:t>
      </w:r>
      <w:r>
        <w:t xml:space="preserve">A universal set, R, comprising a set, A, and its complement, AA universal set, </w:t>
      </w:r>
      <w:r>
        <w:rPr>
          <w:i/>
          <w:iCs/>
        </w:rPr>
        <w:t>R</w:t>
      </w:r>
      <w:r>
        <w:t xml:space="preserve">, comprising a set, </w:t>
      </w:r>
      <w:r>
        <w:rPr>
          <w:i/>
          <w:iCs/>
        </w:rPr>
        <w:t>A</w:t>
      </w:r>
      <w:r>
        <w:t xml:space="preserve">, and its complement, </w:t>
      </w:r>
      <w:r>
        <w:rPr>
          <w:i/>
          <w:iCs/>
        </w:rPr>
        <w:t>A</w:t>
      </w:r>
    </w:p>
    <w:p w:rsidR="00360540" w:rsidRDefault="00360540" w:rsidP="00360540">
      <w:pPr>
        <w:jc w:val="center"/>
      </w:pPr>
      <w:r>
        <w:rPr>
          <w:noProof/>
        </w:rPr>
        <w:drawing>
          <wp:inline distT="0" distB="0" distL="0" distR="0">
            <wp:extent cx="2933700" cy="2095500"/>
            <wp:effectExtent l="0" t="0" r="0" b="0"/>
            <wp:docPr id="5" name="Picture 5" descr="http://mtosmt.org/retrofit/mto.01.7.3/wannamaker_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tosmt.org/retrofit/mto.01.7.3/wannamaker_fig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2095500"/>
                    </a:xfrm>
                    <a:prstGeom prst="rect">
                      <a:avLst/>
                    </a:prstGeom>
                    <a:noFill/>
                    <a:ln>
                      <a:noFill/>
                    </a:ln>
                  </pic:spPr>
                </pic:pic>
              </a:graphicData>
            </a:graphic>
          </wp:inline>
        </w:drawing>
      </w:r>
    </w:p>
    <w:p w:rsidR="00360540" w:rsidRDefault="00360540" w:rsidP="00360540">
      <w:r>
        <w:br/>
      </w:r>
      <w:r>
        <w:br/>
      </w:r>
    </w:p>
    <w:p w:rsidR="00360540" w:rsidRDefault="00360540" w:rsidP="00360540">
      <w:pPr>
        <w:pStyle w:val="NormalWeb"/>
      </w:pPr>
      <w:r>
        <w:rPr>
          <w:b/>
          <w:bCs/>
        </w:rPr>
        <w:t xml:space="preserve">Figure 6. </w:t>
      </w:r>
      <w:r>
        <w:t xml:space="preserve">(a) The intersection, </w:t>
      </w:r>
      <w:r>
        <w:rPr>
          <w:i/>
          <w:iCs/>
        </w:rPr>
        <w:t>AB</w:t>
      </w:r>
      <w:r>
        <w:t xml:space="preserve">, of two sets, </w:t>
      </w:r>
      <w:r>
        <w:rPr>
          <w:i/>
          <w:iCs/>
        </w:rPr>
        <w:t>A</w:t>
      </w:r>
      <w:r>
        <w:t xml:space="preserve"> and </w:t>
      </w:r>
      <w:r>
        <w:rPr>
          <w:i/>
          <w:iCs/>
        </w:rPr>
        <w:t>B</w:t>
      </w:r>
      <w:r>
        <w:t xml:space="preserve"> (b) The union, </w:t>
      </w:r>
      <w:r>
        <w:rPr>
          <w:i/>
          <w:iCs/>
        </w:rPr>
        <w:t>A+B</w:t>
      </w:r>
      <w:r>
        <w:t xml:space="preserve">, of two sets </w:t>
      </w:r>
      <w:r>
        <w:rPr>
          <w:i/>
          <w:iCs/>
        </w:rPr>
        <w:t>A</w:t>
      </w:r>
      <w:r>
        <w:t xml:space="preserve"> and </w:t>
      </w:r>
      <w:r>
        <w:rPr>
          <w:i/>
          <w:iCs/>
        </w:rPr>
        <w:t>B</w:t>
      </w:r>
    </w:p>
    <w:p w:rsidR="00360540" w:rsidRDefault="00360540" w:rsidP="00360540">
      <w:pPr>
        <w:jc w:val="center"/>
      </w:pPr>
      <w:r>
        <w:rPr>
          <w:noProof/>
        </w:rPr>
        <w:drawing>
          <wp:inline distT="0" distB="0" distL="0" distR="0">
            <wp:extent cx="2286000" cy="4534890"/>
            <wp:effectExtent l="0" t="0" r="0" b="0"/>
            <wp:docPr id="4" name="Picture 4" descr="http://mtosmt.org/retrofit/mto.01.7.3/wannamaker_fi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tosmt.org/retrofit/mto.01.7.3/wannamaker_fig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4534890"/>
                    </a:xfrm>
                    <a:prstGeom prst="rect">
                      <a:avLst/>
                    </a:prstGeom>
                    <a:noFill/>
                    <a:ln>
                      <a:noFill/>
                    </a:ln>
                  </pic:spPr>
                </pic:pic>
              </a:graphicData>
            </a:graphic>
          </wp:inline>
        </w:drawing>
      </w:r>
    </w:p>
    <w:p w:rsidR="00360540" w:rsidRDefault="00360540" w:rsidP="00360540"/>
    <w:p w:rsidR="00360540" w:rsidRDefault="00360540" w:rsidP="00360540">
      <w:pPr>
        <w:pStyle w:val="NormalWeb"/>
      </w:pPr>
      <w:r>
        <w:rPr>
          <w:b/>
          <w:bCs/>
        </w:rPr>
        <w:lastRenderedPageBreak/>
        <w:t xml:space="preserve">Figure 7. </w:t>
      </w:r>
      <w:r>
        <w:t>A pair of disjoint sets</w:t>
      </w:r>
    </w:p>
    <w:p w:rsidR="00360540" w:rsidRDefault="00360540" w:rsidP="00360540">
      <w:pPr>
        <w:jc w:val="center"/>
      </w:pPr>
      <w:r>
        <w:rPr>
          <w:noProof/>
        </w:rPr>
        <w:drawing>
          <wp:inline distT="0" distB="0" distL="0" distR="0">
            <wp:extent cx="2286000" cy="1632857"/>
            <wp:effectExtent l="0" t="0" r="0" b="5715"/>
            <wp:docPr id="3" name="Picture 3" descr="http://mtosmt.org/retrofit/mto.01.7.3/wannamaker_fi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tosmt.org/retrofit/mto.01.7.3/wannamaker_fig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632857"/>
                    </a:xfrm>
                    <a:prstGeom prst="rect">
                      <a:avLst/>
                    </a:prstGeom>
                    <a:noFill/>
                    <a:ln>
                      <a:noFill/>
                    </a:ln>
                  </pic:spPr>
                </pic:pic>
              </a:graphicData>
            </a:graphic>
          </wp:inline>
        </w:drawing>
      </w:r>
    </w:p>
    <w:p w:rsidR="00360540" w:rsidRDefault="00360540" w:rsidP="00360540"/>
    <w:p w:rsidR="00360540" w:rsidRDefault="00360540" w:rsidP="00360540">
      <w:pPr>
        <w:pStyle w:val="NormalWeb"/>
      </w:pPr>
      <w:r>
        <w:rPr>
          <w:b/>
          <w:bCs/>
        </w:rPr>
        <w:t xml:space="preserve">Figure 8. </w:t>
      </w:r>
      <w:r>
        <w:t xml:space="preserve">Intersections between three sets, </w:t>
      </w:r>
      <w:r>
        <w:rPr>
          <w:i/>
          <w:iCs/>
        </w:rPr>
        <w:t>A</w:t>
      </w:r>
      <w:r>
        <w:t xml:space="preserve">, </w:t>
      </w:r>
      <w:r>
        <w:rPr>
          <w:i/>
          <w:iCs/>
        </w:rPr>
        <w:t>B</w:t>
      </w:r>
      <w:r>
        <w:t xml:space="preserve">, </w:t>
      </w:r>
      <w:r>
        <w:rPr>
          <w:i/>
          <w:iCs/>
        </w:rPr>
        <w:t>C</w:t>
      </w:r>
      <w:r>
        <w:t>, and their complements</w:t>
      </w:r>
    </w:p>
    <w:p w:rsidR="00360540" w:rsidRDefault="00360540" w:rsidP="00360540">
      <w:pPr>
        <w:jc w:val="center"/>
      </w:pPr>
      <w:r>
        <w:rPr>
          <w:noProof/>
        </w:rPr>
        <w:drawing>
          <wp:inline distT="0" distB="0" distL="0" distR="0">
            <wp:extent cx="2286000" cy="1630180"/>
            <wp:effectExtent l="0" t="0" r="0" b="8255"/>
            <wp:docPr id="2" name="Picture 2" descr="http://mtosmt.org/retrofit/mto.01.7.3/wannamaker_fi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tosmt.org/retrofit/mto.01.7.3/wannamaker_fig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630180"/>
                    </a:xfrm>
                    <a:prstGeom prst="rect">
                      <a:avLst/>
                    </a:prstGeom>
                    <a:noFill/>
                    <a:ln>
                      <a:noFill/>
                    </a:ln>
                  </pic:spPr>
                </pic:pic>
              </a:graphicData>
            </a:graphic>
          </wp:inline>
        </w:drawing>
      </w:r>
    </w:p>
    <w:p w:rsidR="00360540" w:rsidRPr="00360540" w:rsidRDefault="00360540">
      <w:bookmarkStart w:id="0" w:name="_GoBack"/>
      <w:bookmarkEnd w:id="0"/>
    </w:p>
    <w:p w:rsidR="00360540" w:rsidRDefault="00360540" w:rsidP="00360540">
      <w:pPr>
        <w:pStyle w:val="NormalWeb"/>
      </w:pPr>
      <w:r>
        <w:rPr>
          <w:b/>
          <w:bCs/>
        </w:rPr>
        <w:t xml:space="preserve">Figure 9. </w:t>
      </w:r>
      <w:r>
        <w:t xml:space="preserve">Venn diagram of the target set, </w:t>
      </w:r>
      <w:r>
        <w:rPr>
          <w:i/>
          <w:iCs/>
        </w:rPr>
        <w:t>F</w:t>
      </w:r>
      <w:r>
        <w:t xml:space="preserve">, in </w:t>
      </w:r>
      <w:r>
        <w:rPr>
          <w:i/>
          <w:iCs/>
        </w:rPr>
        <w:t>Herma</w:t>
      </w:r>
    </w:p>
    <w:p w:rsidR="00360540" w:rsidRDefault="00360540" w:rsidP="00360540">
      <w:pPr>
        <w:jc w:val="center"/>
      </w:pPr>
      <w:r>
        <w:rPr>
          <w:noProof/>
        </w:rPr>
        <w:drawing>
          <wp:inline distT="0" distB="0" distL="0" distR="0">
            <wp:extent cx="3486150" cy="2486025"/>
            <wp:effectExtent l="0" t="0" r="0" b="9525"/>
            <wp:docPr id="1" name="Picture 1" descr="http://mtosmt.org/retrofit/mto.01.7.3/wannamaker_fi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tosmt.org/retrofit/mto.01.7.3/wannamaker_fig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6150" cy="2486025"/>
                    </a:xfrm>
                    <a:prstGeom prst="rect">
                      <a:avLst/>
                    </a:prstGeom>
                    <a:noFill/>
                    <a:ln>
                      <a:noFill/>
                    </a:ln>
                  </pic:spPr>
                </pic:pic>
              </a:graphicData>
            </a:graphic>
          </wp:inline>
        </w:drawing>
      </w:r>
    </w:p>
    <w:p w:rsidR="002F76AC" w:rsidRPr="00360540" w:rsidRDefault="002F76AC" w:rsidP="00360540"/>
    <w:sectPr w:rsidR="002F76AC" w:rsidRPr="00360540" w:rsidSect="0082090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015E"/>
    <w:multiLevelType w:val="multilevel"/>
    <w:tmpl w:val="37DC6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9D35AC"/>
    <w:multiLevelType w:val="multilevel"/>
    <w:tmpl w:val="8CF0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2126EF"/>
    <w:multiLevelType w:val="multilevel"/>
    <w:tmpl w:val="AD16B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C4"/>
    <w:rsid w:val="000729EF"/>
    <w:rsid w:val="000F7021"/>
    <w:rsid w:val="002945C8"/>
    <w:rsid w:val="002F76AC"/>
    <w:rsid w:val="00360540"/>
    <w:rsid w:val="0048077E"/>
    <w:rsid w:val="004B2AC4"/>
    <w:rsid w:val="004E3651"/>
    <w:rsid w:val="006C7404"/>
    <w:rsid w:val="00820906"/>
    <w:rsid w:val="008C44A5"/>
    <w:rsid w:val="00992EFC"/>
    <w:rsid w:val="009B0D3F"/>
    <w:rsid w:val="00C057C3"/>
    <w:rsid w:val="00C376D8"/>
    <w:rsid w:val="00C813C7"/>
    <w:rsid w:val="00C829FA"/>
    <w:rsid w:val="00CF3C5E"/>
    <w:rsid w:val="00E43C16"/>
    <w:rsid w:val="00E87BB4"/>
    <w:rsid w:val="00EB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6DEA"/>
  <w15:chartTrackingRefBased/>
  <w15:docId w15:val="{037FF15E-2E6E-4F04-ABD3-1F2989DC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A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2AC4"/>
    <w:rPr>
      <w:color w:val="0000FF"/>
      <w:u w:val="single"/>
    </w:rPr>
  </w:style>
  <w:style w:type="paragraph" w:customStyle="1" w:styleId="break">
    <w:name w:val="break"/>
    <w:basedOn w:val="Normal"/>
    <w:rsid w:val="004B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7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5404">
      <w:bodyDiv w:val="1"/>
      <w:marLeft w:val="0"/>
      <w:marRight w:val="0"/>
      <w:marTop w:val="0"/>
      <w:marBottom w:val="0"/>
      <w:divBdr>
        <w:top w:val="none" w:sz="0" w:space="0" w:color="auto"/>
        <w:left w:val="none" w:sz="0" w:space="0" w:color="auto"/>
        <w:bottom w:val="none" w:sz="0" w:space="0" w:color="auto"/>
        <w:right w:val="none" w:sz="0" w:space="0" w:color="auto"/>
      </w:divBdr>
    </w:div>
    <w:div w:id="48579667">
      <w:bodyDiv w:val="1"/>
      <w:marLeft w:val="0"/>
      <w:marRight w:val="0"/>
      <w:marTop w:val="0"/>
      <w:marBottom w:val="0"/>
      <w:divBdr>
        <w:top w:val="none" w:sz="0" w:space="0" w:color="auto"/>
        <w:left w:val="none" w:sz="0" w:space="0" w:color="auto"/>
        <w:bottom w:val="none" w:sz="0" w:space="0" w:color="auto"/>
        <w:right w:val="none" w:sz="0" w:space="0" w:color="auto"/>
      </w:divBdr>
    </w:div>
    <w:div w:id="62916360">
      <w:bodyDiv w:val="1"/>
      <w:marLeft w:val="0"/>
      <w:marRight w:val="0"/>
      <w:marTop w:val="0"/>
      <w:marBottom w:val="0"/>
      <w:divBdr>
        <w:top w:val="none" w:sz="0" w:space="0" w:color="auto"/>
        <w:left w:val="none" w:sz="0" w:space="0" w:color="auto"/>
        <w:bottom w:val="none" w:sz="0" w:space="0" w:color="auto"/>
        <w:right w:val="none" w:sz="0" w:space="0" w:color="auto"/>
      </w:divBdr>
    </w:div>
    <w:div w:id="214583148">
      <w:bodyDiv w:val="1"/>
      <w:marLeft w:val="0"/>
      <w:marRight w:val="0"/>
      <w:marTop w:val="0"/>
      <w:marBottom w:val="0"/>
      <w:divBdr>
        <w:top w:val="none" w:sz="0" w:space="0" w:color="auto"/>
        <w:left w:val="none" w:sz="0" w:space="0" w:color="auto"/>
        <w:bottom w:val="none" w:sz="0" w:space="0" w:color="auto"/>
        <w:right w:val="none" w:sz="0" w:space="0" w:color="auto"/>
      </w:divBdr>
    </w:div>
    <w:div w:id="618336269">
      <w:bodyDiv w:val="1"/>
      <w:marLeft w:val="0"/>
      <w:marRight w:val="0"/>
      <w:marTop w:val="0"/>
      <w:marBottom w:val="0"/>
      <w:divBdr>
        <w:top w:val="none" w:sz="0" w:space="0" w:color="auto"/>
        <w:left w:val="none" w:sz="0" w:space="0" w:color="auto"/>
        <w:bottom w:val="none" w:sz="0" w:space="0" w:color="auto"/>
        <w:right w:val="none" w:sz="0" w:space="0" w:color="auto"/>
      </w:divBdr>
    </w:div>
    <w:div w:id="985621814">
      <w:bodyDiv w:val="1"/>
      <w:marLeft w:val="0"/>
      <w:marRight w:val="0"/>
      <w:marTop w:val="0"/>
      <w:marBottom w:val="0"/>
      <w:divBdr>
        <w:top w:val="none" w:sz="0" w:space="0" w:color="auto"/>
        <w:left w:val="none" w:sz="0" w:space="0" w:color="auto"/>
        <w:bottom w:val="none" w:sz="0" w:space="0" w:color="auto"/>
        <w:right w:val="none" w:sz="0" w:space="0" w:color="auto"/>
      </w:divBdr>
    </w:div>
    <w:div w:id="1206407638">
      <w:bodyDiv w:val="1"/>
      <w:marLeft w:val="0"/>
      <w:marRight w:val="0"/>
      <w:marTop w:val="0"/>
      <w:marBottom w:val="0"/>
      <w:divBdr>
        <w:top w:val="none" w:sz="0" w:space="0" w:color="auto"/>
        <w:left w:val="none" w:sz="0" w:space="0" w:color="auto"/>
        <w:bottom w:val="none" w:sz="0" w:space="0" w:color="auto"/>
        <w:right w:val="none" w:sz="0" w:space="0" w:color="auto"/>
      </w:divBdr>
    </w:div>
    <w:div w:id="1245072893">
      <w:bodyDiv w:val="1"/>
      <w:marLeft w:val="0"/>
      <w:marRight w:val="0"/>
      <w:marTop w:val="0"/>
      <w:marBottom w:val="0"/>
      <w:divBdr>
        <w:top w:val="none" w:sz="0" w:space="0" w:color="auto"/>
        <w:left w:val="none" w:sz="0" w:space="0" w:color="auto"/>
        <w:bottom w:val="none" w:sz="0" w:space="0" w:color="auto"/>
        <w:right w:val="none" w:sz="0" w:space="0" w:color="auto"/>
      </w:divBdr>
    </w:div>
    <w:div w:id="1279139879">
      <w:bodyDiv w:val="1"/>
      <w:marLeft w:val="0"/>
      <w:marRight w:val="0"/>
      <w:marTop w:val="0"/>
      <w:marBottom w:val="0"/>
      <w:divBdr>
        <w:top w:val="none" w:sz="0" w:space="0" w:color="auto"/>
        <w:left w:val="none" w:sz="0" w:space="0" w:color="auto"/>
        <w:bottom w:val="none" w:sz="0" w:space="0" w:color="auto"/>
        <w:right w:val="none" w:sz="0" w:space="0" w:color="auto"/>
      </w:divBdr>
    </w:div>
    <w:div w:id="1372848851">
      <w:bodyDiv w:val="1"/>
      <w:marLeft w:val="0"/>
      <w:marRight w:val="0"/>
      <w:marTop w:val="0"/>
      <w:marBottom w:val="0"/>
      <w:divBdr>
        <w:top w:val="none" w:sz="0" w:space="0" w:color="auto"/>
        <w:left w:val="none" w:sz="0" w:space="0" w:color="auto"/>
        <w:bottom w:val="none" w:sz="0" w:space="0" w:color="auto"/>
        <w:right w:val="none" w:sz="0" w:space="0" w:color="auto"/>
      </w:divBdr>
    </w:div>
    <w:div w:id="1414083975">
      <w:bodyDiv w:val="1"/>
      <w:marLeft w:val="0"/>
      <w:marRight w:val="0"/>
      <w:marTop w:val="0"/>
      <w:marBottom w:val="0"/>
      <w:divBdr>
        <w:top w:val="none" w:sz="0" w:space="0" w:color="auto"/>
        <w:left w:val="none" w:sz="0" w:space="0" w:color="auto"/>
        <w:bottom w:val="none" w:sz="0" w:space="0" w:color="auto"/>
        <w:right w:val="none" w:sz="0" w:space="0" w:color="auto"/>
      </w:divBdr>
    </w:div>
    <w:div w:id="1448697840">
      <w:bodyDiv w:val="1"/>
      <w:marLeft w:val="0"/>
      <w:marRight w:val="0"/>
      <w:marTop w:val="0"/>
      <w:marBottom w:val="0"/>
      <w:divBdr>
        <w:top w:val="none" w:sz="0" w:space="0" w:color="auto"/>
        <w:left w:val="none" w:sz="0" w:space="0" w:color="auto"/>
        <w:bottom w:val="none" w:sz="0" w:space="0" w:color="auto"/>
        <w:right w:val="none" w:sz="0" w:space="0" w:color="auto"/>
      </w:divBdr>
    </w:div>
    <w:div w:id="1595556526">
      <w:bodyDiv w:val="1"/>
      <w:marLeft w:val="0"/>
      <w:marRight w:val="0"/>
      <w:marTop w:val="0"/>
      <w:marBottom w:val="0"/>
      <w:divBdr>
        <w:top w:val="none" w:sz="0" w:space="0" w:color="auto"/>
        <w:left w:val="none" w:sz="0" w:space="0" w:color="auto"/>
        <w:bottom w:val="none" w:sz="0" w:space="0" w:color="auto"/>
        <w:right w:val="none" w:sz="0" w:space="0" w:color="auto"/>
      </w:divBdr>
    </w:div>
    <w:div w:id="1597861096">
      <w:bodyDiv w:val="1"/>
      <w:marLeft w:val="0"/>
      <w:marRight w:val="0"/>
      <w:marTop w:val="0"/>
      <w:marBottom w:val="0"/>
      <w:divBdr>
        <w:top w:val="none" w:sz="0" w:space="0" w:color="auto"/>
        <w:left w:val="none" w:sz="0" w:space="0" w:color="auto"/>
        <w:bottom w:val="none" w:sz="0" w:space="0" w:color="auto"/>
        <w:right w:val="none" w:sz="0" w:space="0" w:color="auto"/>
      </w:divBdr>
    </w:div>
    <w:div w:id="1701515012">
      <w:bodyDiv w:val="1"/>
      <w:marLeft w:val="0"/>
      <w:marRight w:val="0"/>
      <w:marTop w:val="0"/>
      <w:marBottom w:val="0"/>
      <w:divBdr>
        <w:top w:val="none" w:sz="0" w:space="0" w:color="auto"/>
        <w:left w:val="none" w:sz="0" w:space="0" w:color="auto"/>
        <w:bottom w:val="none" w:sz="0" w:space="0" w:color="auto"/>
        <w:right w:val="none" w:sz="0" w:space="0" w:color="auto"/>
      </w:divBdr>
    </w:div>
    <w:div w:id="1805731153">
      <w:bodyDiv w:val="1"/>
      <w:marLeft w:val="0"/>
      <w:marRight w:val="0"/>
      <w:marTop w:val="0"/>
      <w:marBottom w:val="0"/>
      <w:divBdr>
        <w:top w:val="none" w:sz="0" w:space="0" w:color="auto"/>
        <w:left w:val="none" w:sz="0" w:space="0" w:color="auto"/>
        <w:bottom w:val="none" w:sz="0" w:space="0" w:color="auto"/>
        <w:right w:val="none" w:sz="0" w:space="0" w:color="auto"/>
      </w:divBdr>
    </w:div>
    <w:div w:id="1852143318">
      <w:bodyDiv w:val="1"/>
      <w:marLeft w:val="0"/>
      <w:marRight w:val="0"/>
      <w:marTop w:val="0"/>
      <w:marBottom w:val="0"/>
      <w:divBdr>
        <w:top w:val="none" w:sz="0" w:space="0" w:color="auto"/>
        <w:left w:val="none" w:sz="0" w:space="0" w:color="auto"/>
        <w:bottom w:val="none" w:sz="0" w:space="0" w:color="auto"/>
        <w:right w:val="none" w:sz="0" w:space="0" w:color="auto"/>
      </w:divBdr>
    </w:div>
    <w:div w:id="1980529859">
      <w:bodyDiv w:val="1"/>
      <w:marLeft w:val="0"/>
      <w:marRight w:val="0"/>
      <w:marTop w:val="0"/>
      <w:marBottom w:val="0"/>
      <w:divBdr>
        <w:top w:val="none" w:sz="0" w:space="0" w:color="auto"/>
        <w:left w:val="none" w:sz="0" w:space="0" w:color="auto"/>
        <w:bottom w:val="none" w:sz="0" w:space="0" w:color="auto"/>
        <w:right w:val="none" w:sz="0" w:space="0" w:color="auto"/>
      </w:divBdr>
    </w:div>
    <w:div w:id="2060087658">
      <w:bodyDiv w:val="1"/>
      <w:marLeft w:val="0"/>
      <w:marRight w:val="0"/>
      <w:marTop w:val="0"/>
      <w:marBottom w:val="0"/>
      <w:divBdr>
        <w:top w:val="none" w:sz="0" w:space="0" w:color="auto"/>
        <w:left w:val="none" w:sz="0" w:space="0" w:color="auto"/>
        <w:bottom w:val="none" w:sz="0" w:space="0" w:color="auto"/>
        <w:right w:val="none" w:sz="0" w:space="0" w:color="auto"/>
      </w:divBdr>
    </w:div>
    <w:div w:id="2095322138">
      <w:bodyDiv w:val="1"/>
      <w:marLeft w:val="0"/>
      <w:marRight w:val="0"/>
      <w:marTop w:val="0"/>
      <w:marBottom w:val="0"/>
      <w:divBdr>
        <w:top w:val="none" w:sz="0" w:space="0" w:color="auto"/>
        <w:left w:val="none" w:sz="0" w:space="0" w:color="auto"/>
        <w:bottom w:val="none" w:sz="0" w:space="0" w:color="auto"/>
        <w:right w:val="none" w:sz="0" w:space="0" w:color="auto"/>
      </w:divBdr>
    </w:div>
    <w:div w:id="210976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tosmt.org/issues/mto.01.7.3/mto.01.7.3.wannamaker.php" TargetMode="External"/><Relationship Id="rId11" Type="http://schemas.openxmlformats.org/officeDocument/2006/relationships/image" Target="media/image6.gif"/><Relationship Id="rId5" Type="http://schemas.openxmlformats.org/officeDocument/2006/relationships/image" Target="media/image1.png"/><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Words>
  <Characters>1631</Characters>
  <Application>Microsoft Office Word</Application>
  <DocSecurity>0</DocSecurity>
  <Lines>125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Yorgason</dc:creator>
  <cp:keywords/>
  <dc:description/>
  <cp:lastModifiedBy>Brent Yorgason</cp:lastModifiedBy>
  <cp:revision>2</cp:revision>
  <dcterms:created xsi:type="dcterms:W3CDTF">2016-10-10T05:00:00Z</dcterms:created>
  <dcterms:modified xsi:type="dcterms:W3CDTF">2016-10-10T05:00:00Z</dcterms:modified>
</cp:coreProperties>
</file>