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B1499D" w:rsidTr="00B149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499D" w:rsidRDefault="00B1499D" w:rsidP="00B1499D">
            <w:pPr>
              <w:spacing w:line="2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7625080" cy="1193165"/>
                  <wp:effectExtent l="0" t="0" r="0" b="6985"/>
                  <wp:docPr id="38" name="Picture 38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0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99D" w:rsidRDefault="00B1499D" w:rsidP="00B1499D">
            <w:pPr>
              <w:pStyle w:val="NormalWeb"/>
              <w:spacing w:before="240" w:beforeAutospacing="0" w:line="336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MTO 14.3 Examples: Kallis, Principles of Pitch Organization in Scriabin's Early Post-tonal Period</w:t>
            </w:r>
          </w:p>
          <w:p w:rsidR="00B1499D" w:rsidRDefault="00B1499D" w:rsidP="00B1499D">
            <w:pPr>
              <w:pStyle w:val="NormalWeb"/>
              <w:spacing w:before="240" w:beforeAutospacing="0" w:line="336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(Note: audio, video, and other interactive examples are only available online)</w:t>
            </w:r>
            <w:r>
              <w:rPr>
                <w:rFonts w:ascii="Garamond" w:hAnsi="Garamond"/>
                <w:color w:val="000000"/>
              </w:rPr>
              <w:br/>
            </w:r>
            <w:hyperlink r:id="rId8" w:history="1">
              <w:r>
                <w:rPr>
                  <w:rStyle w:val="Hyperlink"/>
                  <w:rFonts w:ascii="Garamond" w:hAnsi="Garamond"/>
                  <w:u w:val="none"/>
                </w:rPr>
                <w:t>http://www.mtosmt.org/issues/mto.08.14.3/mto.08.14.3.kallis.php</w:t>
              </w:r>
            </w:hyperlink>
          </w:p>
        </w:tc>
      </w:tr>
    </w:tbl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1.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Scriabin’s primary pitch material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5842635" cy="1425575"/>
            <wp:effectExtent l="0" t="0" r="5715" b="3175"/>
            <wp:docPr id="37" name="Picture 37" descr="http://www.mtosmt.org/retrofit/mto.08.14.3/kallis_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osmt.org/retrofit/mto.08.14.3/kallis_ex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2.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Model of pitch organization in Scriabin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276975" cy="2696845"/>
            <wp:effectExtent l="0" t="0" r="9525" b="8255"/>
            <wp:docPr id="36" name="Picture 36" descr="http://www.mtosmt.org/retrofit/mto.08.14.3/kallis_e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tosmt.org/retrofit/mto.08.14.3/kallis_ex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3.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Generation of 9-10 from the union of the acoustic and the octatonic scales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4339590" cy="2138680"/>
            <wp:effectExtent l="0" t="0" r="3810" b="0"/>
            <wp:docPr id="35" name="Picture 35" descr="http://www.mtosmt.org/retrofit/mto.08.14.3/kallis_ex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tosmt.org/retrofit/mto.08.14.3/kallis_ex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4.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Scriabin’s octatonic/acoustic transformations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5253990" cy="3750310"/>
            <wp:effectExtent l="0" t="0" r="3810" b="2540"/>
            <wp:docPr id="34" name="Picture 34" descr="http://www.mtosmt.org/retrofit/mto.08.14.3/kallis_ex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tosmt.org/retrofit/mto.08.14.3/kallis_ex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5.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Scriabin’s primary pitch material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2582981"/>
            <wp:effectExtent l="0" t="0" r="0" b="8255"/>
            <wp:docPr id="33" name="Picture 33" descr="http://www.mtosmt.org/retrofit/mto.08.14.3/kallis_e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tosmt.org/retrofit/mto.08.14.3/kallis_ex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8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6.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9-10,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</w:t>
      </w:r>
      <w:r>
        <w:rPr>
          <w:rFonts w:ascii="Garamond" w:hAnsi="Garamond"/>
          <w:color w:val="000000"/>
          <w:vertAlign w:val="subscript"/>
        </w:rPr>
        <w:t>3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color w:val="000000"/>
        </w:rPr>
        <w:t>operation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3967480" cy="4215765"/>
            <wp:effectExtent l="0" t="0" r="0" b="0"/>
            <wp:docPr id="32" name="Picture 32" descr="http://www.mtosmt.org/retrofit/mto.08.14.3/kallis_ex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tosmt.org/retrofit/mto.08.14.3/kallis_ex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7.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Octatonic scale, array of harmonies in Scriabin’s post-tonal oeuvre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4030540"/>
            <wp:effectExtent l="0" t="0" r="0" b="8255"/>
            <wp:docPr id="31" name="Picture 31" descr="http://www.mtosmt.org/retrofit/mto.08.14.3/kallis_ex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tosmt.org/retrofit/mto.08.14.3/kallis_ex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8.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Acoustic scale, array of harmonies in Scriabin’s post-tonal oeuvre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664325" cy="4215765"/>
            <wp:effectExtent l="0" t="0" r="3175" b="0"/>
            <wp:docPr id="30" name="Picture 30" descr="http://www.mtosmt.org/retrofit/mto.08.14.3/kallis_ex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tosmt.org/retrofit/mto.08.14.3/kallis_ex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1.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3760097"/>
            <wp:effectExtent l="0" t="0" r="0" b="0"/>
            <wp:docPr id="29" name="Picture 29" descr="http://www.mtosmt.org/retrofit/mto.08.14.3/kallis_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tosmt.org/retrofit/mto.08.14.3/kallis_fig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6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9.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Scriabin, Poème-Nocturne, Op. 61, mm. 1–7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695440" cy="6943090"/>
            <wp:effectExtent l="0" t="0" r="0" b="0"/>
            <wp:docPr id="28" name="Picture 28" descr="http://www.mtosmt.org/retrofit/mto.08.14.3/kallis_ex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tosmt.org/retrofit/mto.08.14.3/kallis_ex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694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2.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Substitution-based interaction: network of set interrelationships, from Callender (1998, Fig. 11, p. 227)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7005320" cy="7129145"/>
            <wp:effectExtent l="0" t="0" r="5080" b="0"/>
            <wp:docPr id="27" name="Picture 27" descr="http://www.mtosmt.org/retrofit/mto.08.14.3/kallis_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tosmt.org/retrofit/mto.08.14.3/kallis_fig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712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3.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Voice-leading between P1-related sets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1457344"/>
            <wp:effectExtent l="0" t="0" r="0" b="9525"/>
            <wp:docPr id="26" name="Picture 26" descr="http://www.mtosmt.org/retrofit/mto.08.14.3/kallis_f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tosmt.org/retrofit/mto.08.14.3/kallis_fig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5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10a.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Scriabin, Poème, Op. 69, No. 1, mm. 1–6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5407562"/>
            <wp:effectExtent l="0" t="0" r="0" b="3175"/>
            <wp:docPr id="25" name="Picture 25" descr="http://www.mtosmt.org/retrofit/mto.08.14.3/kallis_ex1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tosmt.org/retrofit/mto.08.14.3/kallis_ex10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0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10b.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Scriabin, Poème, Op. 69, No. 1, mm. 1–5, acoustic/whole-tone interaction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1743589"/>
            <wp:effectExtent l="0" t="0" r="0" b="9525"/>
            <wp:docPr id="24" name="Picture 24" descr="http://www.mtosmt.org/retrofit/mto.08.14.3/kallis_ex1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tosmt.org/retrofit/mto.08.14.3/kallis_ex10b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4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11.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Scriabin, Etrangeté, Op. 63, No. 2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911975" cy="5222875"/>
            <wp:effectExtent l="0" t="0" r="3175" b="0"/>
            <wp:docPr id="23" name="Picture 23" descr="http://www.mtosmt.org/retrofit/mto.08.14.3/kallis_ex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tosmt.org/retrofit/mto.08.14.3/kallis_ex1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52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4.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Voice-leading between S-related sets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2274660"/>
            <wp:effectExtent l="0" t="0" r="0" b="0"/>
            <wp:docPr id="22" name="Picture 22" descr="http://www.mtosmt.org/retrofit/mto.08.14.3/kallis_fi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tosmt.org/retrofit/mto.08.14.3/kallis_fig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7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Table 1.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Scriabin, Poème, Op. 69, No. 1, mm. 1–6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5029200" cy="8210359"/>
            <wp:effectExtent l="0" t="0" r="0" b="635"/>
            <wp:docPr id="21" name="Picture 21" descr="http://www.mtosmt.org/retrofit/mto.08.14.3/kallis_ta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tosmt.org/retrofit/mto.08.14.3/kallis_tab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21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12.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Scriabin, Masque, Op. 63, No. 1, mm. 1–4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090920" cy="3301365"/>
            <wp:effectExtent l="0" t="0" r="5080" b="0"/>
            <wp:docPr id="20" name="Picture 20" descr="http://www.mtosmt.org/retrofit/mto.08.14.3/kallis_ex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tosmt.org/retrofit/mto.08.14.3/kallis_ex1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13.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Scriabin, Prelude, Op. 59, No. 2, mm. 1–5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5295265"/>
            <wp:effectExtent l="0" t="0" r="0" b="635"/>
            <wp:docPr id="19" name="Picture 19" descr="http://www.mtosmt.org/retrofit/mto.08.14.3/kallis_ex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tosmt.org/retrofit/mto.08.14.3/kallis_ex1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14.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Scriabin, Poème-Nocturne, Op. 61, mm. 159–72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5997575" cy="7625080"/>
            <wp:effectExtent l="0" t="0" r="3175" b="0"/>
            <wp:docPr id="18" name="Picture 18" descr="http://www.mtosmt.org/retrofit/mto.08.14.3/kallis_ex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tosmt.org/retrofit/mto.08.14.3/kallis_ex1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76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Figure 5.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4572000" cy="1667740"/>
            <wp:effectExtent l="0" t="0" r="0" b="8890"/>
            <wp:docPr id="17" name="Picture 17" descr="http://www.mtosmt.org/retrofit/mto.08.14.3/kallis_fi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tosmt.org/retrofit/mto.08.14.3/kallis_fig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jc w:val="center"/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15a.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Scriabin, Prelude, Op. 67, No. 1, mm. 1–6. Based on Pople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5574301"/>
            <wp:effectExtent l="0" t="0" r="0" b="7620"/>
            <wp:docPr id="5" name="Picture 5" descr="http://www.mtosmt.org/retrofit/mto.08.14.3/kallis_ex1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tosmt.org/retrofit/mto.08.14.3/kallis_ex15a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7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D" w:rsidRDefault="00B1499D" w:rsidP="00B1499D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bookmarkStart w:id="0" w:name="_GoBack"/>
      <w:bookmarkEnd w:id="0"/>
      <w:r>
        <w:rPr>
          <w:rFonts w:ascii="Garamond" w:hAnsi="Garamond"/>
          <w:b/>
          <w:bCs/>
          <w:color w:val="000000"/>
        </w:rPr>
        <w:lastRenderedPageBreak/>
        <w:t>Example 15b.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Scriabin, Prelude, Op. 67, No. 1, mm. 15–16</w:t>
      </w:r>
    </w:p>
    <w:p w:rsidR="00B1499D" w:rsidRDefault="00B1499D" w:rsidP="00B1499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3719830" cy="2991485"/>
            <wp:effectExtent l="0" t="0" r="0" b="0"/>
            <wp:docPr id="4" name="Picture 4" descr="http://www.mtosmt.org/retrofit/mto.08.14.3/kallis_ex1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tosmt.org/retrofit/mto.08.14.3/kallis_ex15b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20" w:rsidRPr="00B1499D" w:rsidRDefault="00AB1A20" w:rsidP="00B1499D">
      <w:pPr>
        <w:jc w:val="center"/>
      </w:pPr>
    </w:p>
    <w:sectPr w:rsidR="00AB1A20" w:rsidRPr="00B1499D" w:rsidSect="0076530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44" w:rsidRDefault="00AB2B44" w:rsidP="00D00208">
      <w:pPr>
        <w:spacing w:after="0" w:line="240" w:lineRule="auto"/>
      </w:pPr>
      <w:r>
        <w:separator/>
      </w:r>
    </w:p>
  </w:endnote>
  <w:endnote w:type="continuationSeparator" w:id="0">
    <w:p w:rsidR="00AB2B44" w:rsidRDefault="00AB2B44" w:rsidP="00D0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44" w:rsidRDefault="00AB2B44" w:rsidP="00D00208">
      <w:pPr>
        <w:spacing w:after="0" w:line="240" w:lineRule="auto"/>
      </w:pPr>
      <w:r>
        <w:separator/>
      </w:r>
    </w:p>
  </w:footnote>
  <w:footnote w:type="continuationSeparator" w:id="0">
    <w:p w:rsidR="00AB2B44" w:rsidRDefault="00AB2B44" w:rsidP="00D00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262"/>
    <w:multiLevelType w:val="multilevel"/>
    <w:tmpl w:val="E770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B6F66"/>
    <w:multiLevelType w:val="multilevel"/>
    <w:tmpl w:val="CC4C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60527"/>
    <w:multiLevelType w:val="multilevel"/>
    <w:tmpl w:val="8E22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A323B"/>
    <w:multiLevelType w:val="multilevel"/>
    <w:tmpl w:val="77A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03"/>
    <w:rsid w:val="000146AC"/>
    <w:rsid w:val="00055870"/>
    <w:rsid w:val="00076357"/>
    <w:rsid w:val="000D0FD4"/>
    <w:rsid w:val="000F7021"/>
    <w:rsid w:val="00136B65"/>
    <w:rsid w:val="001737BB"/>
    <w:rsid w:val="00177557"/>
    <w:rsid w:val="00177D0A"/>
    <w:rsid w:val="001D4968"/>
    <w:rsid w:val="001E2307"/>
    <w:rsid w:val="002748FA"/>
    <w:rsid w:val="002B26AE"/>
    <w:rsid w:val="002B4260"/>
    <w:rsid w:val="00301EA7"/>
    <w:rsid w:val="00347F82"/>
    <w:rsid w:val="0038679A"/>
    <w:rsid w:val="0039638B"/>
    <w:rsid w:val="003A7ECD"/>
    <w:rsid w:val="003E764E"/>
    <w:rsid w:val="00480EBA"/>
    <w:rsid w:val="004D58ED"/>
    <w:rsid w:val="00507FD8"/>
    <w:rsid w:val="005249B4"/>
    <w:rsid w:val="00545F6F"/>
    <w:rsid w:val="00592EF5"/>
    <w:rsid w:val="006324F4"/>
    <w:rsid w:val="006350C7"/>
    <w:rsid w:val="0065715C"/>
    <w:rsid w:val="006764D6"/>
    <w:rsid w:val="006A1352"/>
    <w:rsid w:val="007123FD"/>
    <w:rsid w:val="00765303"/>
    <w:rsid w:val="007A16A7"/>
    <w:rsid w:val="007B3172"/>
    <w:rsid w:val="008739CF"/>
    <w:rsid w:val="008959E2"/>
    <w:rsid w:val="008D43F4"/>
    <w:rsid w:val="008D7EDB"/>
    <w:rsid w:val="00A068BB"/>
    <w:rsid w:val="00A228C8"/>
    <w:rsid w:val="00A22E06"/>
    <w:rsid w:val="00A43380"/>
    <w:rsid w:val="00A625B9"/>
    <w:rsid w:val="00A6733D"/>
    <w:rsid w:val="00AB1A20"/>
    <w:rsid w:val="00AB2B44"/>
    <w:rsid w:val="00B1499D"/>
    <w:rsid w:val="00B16835"/>
    <w:rsid w:val="00B6685A"/>
    <w:rsid w:val="00BB3432"/>
    <w:rsid w:val="00C12D9E"/>
    <w:rsid w:val="00C24117"/>
    <w:rsid w:val="00C829FA"/>
    <w:rsid w:val="00CA76AB"/>
    <w:rsid w:val="00CB5B63"/>
    <w:rsid w:val="00CD6CD0"/>
    <w:rsid w:val="00CF1D25"/>
    <w:rsid w:val="00CF2B7A"/>
    <w:rsid w:val="00CF5EE3"/>
    <w:rsid w:val="00D00208"/>
    <w:rsid w:val="00D13250"/>
    <w:rsid w:val="00D2072B"/>
    <w:rsid w:val="00D22BE7"/>
    <w:rsid w:val="00D76B48"/>
    <w:rsid w:val="00DD2FBD"/>
    <w:rsid w:val="00DF4708"/>
    <w:rsid w:val="00E26B7A"/>
    <w:rsid w:val="00E7076F"/>
    <w:rsid w:val="00F1228B"/>
    <w:rsid w:val="00FA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493A-6F06-4CC3-A8AF-AA6940BF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53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8C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D58ED"/>
  </w:style>
  <w:style w:type="paragraph" w:styleId="Header">
    <w:name w:val="header"/>
    <w:basedOn w:val="Normal"/>
    <w:link w:val="HeaderChar"/>
    <w:uiPriority w:val="99"/>
    <w:unhideWhenUsed/>
    <w:rsid w:val="00D0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08"/>
  </w:style>
  <w:style w:type="paragraph" w:styleId="Footer">
    <w:name w:val="footer"/>
    <w:basedOn w:val="Normal"/>
    <w:link w:val="FooterChar"/>
    <w:uiPriority w:val="99"/>
    <w:unhideWhenUsed/>
    <w:rsid w:val="00D0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1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osmt.org/issues/mto.08.14.3/mto.08.14.3.kallis.php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238</Words>
  <Characters>1469</Characters>
  <Application>Microsoft Office Word</Application>
  <DocSecurity>0</DocSecurity>
  <Lines>122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dcterms:created xsi:type="dcterms:W3CDTF">2016-04-16T00:27:00Z</dcterms:created>
  <dcterms:modified xsi:type="dcterms:W3CDTF">2016-04-16T00:27:00Z</dcterms:modified>
</cp:coreProperties>
</file>