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F77C68" w:rsidTr="00F77C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C68" w:rsidRDefault="00F77C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5080" cy="1193165"/>
                  <wp:effectExtent l="0" t="0" r="0" b="6985"/>
                  <wp:docPr id="5" name="Picture 5" descr="M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5080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C68" w:rsidRDefault="00F77C68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MTO 15.3 Examples: </w:t>
            </w:r>
            <w:proofErr w:type="spellStart"/>
            <w:r>
              <w:rPr>
                <w:rFonts w:ascii="Arial" w:hAnsi="Arial" w:cs="Arial"/>
                <w:b/>
                <w:bCs/>
              </w:rPr>
              <w:t>Pacun</w:t>
            </w:r>
            <w:proofErr w:type="spellEnd"/>
            <w:r>
              <w:rPr>
                <w:rFonts w:ascii="Arial" w:hAnsi="Arial" w:cs="Arial"/>
                <w:b/>
                <w:bCs/>
              </w:rPr>
              <w:t>, Recommendations for Visually Impaired Students</w:t>
            </w:r>
          </w:p>
          <w:p w:rsidR="00F77C68" w:rsidRDefault="00F77C68">
            <w:pPr>
              <w:pStyle w:val="NormalWeb"/>
              <w:jc w:val="center"/>
            </w:pPr>
            <w:r>
              <w:t>(Note: audio, video, and other interactive examples are only available online)</w:t>
            </w:r>
            <w:r>
              <w:br/>
            </w:r>
            <w:hyperlink r:id="rId6" w:history="1">
              <w:r>
                <w:rPr>
                  <w:rStyle w:val="Hyperlink"/>
                </w:rPr>
                <w:t>http://www.mtosmt.org/issues/mto.09.15.3/mto.09.15.3.pacun.php</w:t>
              </w:r>
            </w:hyperlink>
          </w:p>
        </w:tc>
      </w:tr>
    </w:tbl>
    <w:p w:rsidR="00F77C68" w:rsidRDefault="00F77C68" w:rsidP="00F77C68">
      <w:pPr>
        <w:pStyle w:val="NormalWeb"/>
      </w:pPr>
      <w:r>
        <w:rPr>
          <w:b/>
          <w:bCs/>
        </w:rPr>
        <w:t xml:space="preserve">Figure 1. </w:t>
      </w:r>
      <w:r>
        <w:t>Some Things to Put in Place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3"/>
      </w:tblGrid>
      <w:tr w:rsidR="00F77C68" w:rsidTr="00F77C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C68" w:rsidRDefault="00F77C68">
            <w:r>
              <w:t xml:space="preserve">Basics: </w:t>
            </w:r>
          </w:p>
          <w:p w:rsidR="00F77C68" w:rsidRDefault="00F77C68" w:rsidP="00F77C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>Allow time for special:</w:t>
            </w:r>
          </w:p>
          <w:p w:rsidR="00F77C68" w:rsidRDefault="00F77C68" w:rsidP="00F77C68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 w:hanging="360"/>
            </w:pPr>
            <w:r>
              <w:t xml:space="preserve">Handouts and examples in alternative formats </w:t>
            </w:r>
          </w:p>
          <w:p w:rsidR="00F77C68" w:rsidRDefault="00F77C68" w:rsidP="00F77C68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1440" w:hanging="360"/>
            </w:pPr>
            <w:r>
              <w:t xml:space="preserve">Individual instruction </w:t>
            </w:r>
          </w:p>
          <w:p w:rsidR="00F77C68" w:rsidRDefault="00F77C68" w:rsidP="00F77C68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1440" w:hanging="360"/>
            </w:pPr>
            <w:r>
              <w:t>Classroom management</w:t>
            </w:r>
          </w:p>
          <w:p w:rsidR="00F77C68" w:rsidRDefault="00F77C68" w:rsidP="00F77C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 w:hanging="360"/>
            </w:pPr>
            <w:r>
              <w:t>Find readers and/or transcribers (possibly work-study students)</w:t>
            </w:r>
          </w:p>
          <w:p w:rsidR="00F77C68" w:rsidRDefault="00F77C68" w:rsidP="00F77C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20" w:hanging="360"/>
            </w:pPr>
            <w:r>
              <w:t>Visit Academic Support Services for help with scores &amp; texts in Braille or alternative formats</w:t>
            </w:r>
          </w:p>
          <w:p w:rsidR="00F77C68" w:rsidRDefault="00F77C68" w:rsidP="00F77C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20" w:hanging="360"/>
            </w:pPr>
            <w:r>
              <w:t>Request support from Dean or Chair</w:t>
            </w:r>
          </w:p>
          <w:p w:rsidR="00F77C68" w:rsidRDefault="00F77C68">
            <w:pPr>
              <w:pStyle w:val="NormalWeb"/>
            </w:pPr>
            <w:r>
              <w:t xml:space="preserve">Physical Plant and Scheduling (daily needs): </w:t>
            </w:r>
          </w:p>
          <w:p w:rsidR="00F77C68" w:rsidRDefault="00F77C68" w:rsidP="00F77C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>
              <w:t>Desks: flat, and large enough for a laptop and educational aids</w:t>
            </w:r>
          </w:p>
          <w:p w:rsidR="00F77C68" w:rsidRDefault="00F77C68" w:rsidP="00F77C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20" w:hanging="360"/>
            </w:pPr>
            <w:r>
              <w:t>Student’s Schedule: “what’s easiest” (especially for first year students)</w:t>
            </w:r>
          </w:p>
          <w:p w:rsidR="00F77C68" w:rsidRDefault="00F77C68" w:rsidP="00F77C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20" w:hanging="360"/>
            </w:pPr>
            <w:r>
              <w:t>Pre-enroll student to give instructor additional preparation time</w:t>
            </w:r>
          </w:p>
          <w:p w:rsidR="00F77C68" w:rsidRDefault="00F77C68">
            <w:pPr>
              <w:pStyle w:val="NormalWeb"/>
            </w:pPr>
            <w:r>
              <w:t xml:space="preserve">Classroom issues: </w:t>
            </w:r>
          </w:p>
          <w:p w:rsidR="00F77C68" w:rsidRDefault="00F77C68" w:rsidP="00F77C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>
              <w:t>Student volunteers</w:t>
            </w:r>
          </w:p>
          <w:p w:rsidR="00F77C68" w:rsidRDefault="00F77C68" w:rsidP="00F77C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20" w:hanging="360"/>
            </w:pPr>
            <w:r>
              <w:t>Textbooks: locate alternative format(s); or an alternative textbook if the assigned text is not available</w:t>
            </w:r>
          </w:p>
          <w:p w:rsidR="00F77C68" w:rsidRDefault="00F77C68" w:rsidP="00F77C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20" w:hanging="360"/>
            </w:pPr>
            <w:r>
              <w:t xml:space="preserve">Envision in advance: </w:t>
            </w:r>
          </w:p>
          <w:p w:rsidR="00F77C68" w:rsidRDefault="00F77C68" w:rsidP="00F77C68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1440" w:hanging="360"/>
            </w:pPr>
            <w:r>
              <w:t>Testing: time, format</w:t>
            </w:r>
          </w:p>
          <w:p w:rsidR="00F77C68" w:rsidRDefault="00F77C68" w:rsidP="00F77C68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1440" w:hanging="360"/>
            </w:pPr>
            <w:r>
              <w:t>Notation-based skills/activities such as dictation</w:t>
            </w:r>
          </w:p>
          <w:p w:rsidR="00F77C68" w:rsidRDefault="00F77C68" w:rsidP="00F77C68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1440" w:hanging="360"/>
            </w:pPr>
            <w:r>
              <w:t xml:space="preserve">What happens when x isn’t available? </w:t>
            </w:r>
          </w:p>
          <w:p w:rsidR="00F77C68" w:rsidRDefault="00F77C68" w:rsidP="00F77C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 w:hanging="360"/>
            </w:pPr>
            <w:r>
              <w:t>Envision how challenges may lead to changes in instruction &amp; curriculum</w:t>
            </w:r>
          </w:p>
          <w:p w:rsidR="00F77C68" w:rsidRDefault="00F77C68" w:rsidP="00F77C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20" w:hanging="360"/>
            </w:pPr>
            <w:r>
              <w:t>Be sure to say what you are doing as you are doing it</w:t>
            </w:r>
          </w:p>
          <w:p w:rsidR="00F77C68" w:rsidRDefault="00F77C68">
            <w:pPr>
              <w:pStyle w:val="NormalWeb"/>
            </w:pPr>
            <w:r>
              <w:t xml:space="preserve">Technology: </w:t>
            </w:r>
          </w:p>
          <w:p w:rsidR="00F77C68" w:rsidRDefault="00F77C68" w:rsidP="00F77C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t>Compatibility between Academic support, professor, and student software</w:t>
            </w:r>
          </w:p>
          <w:p w:rsidR="00F77C68" w:rsidRDefault="00F77C68" w:rsidP="00F77C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20" w:hanging="360"/>
            </w:pPr>
            <w:r>
              <w:t xml:space="preserve">Test runs: does it really work the way you need it to? </w:t>
            </w:r>
          </w:p>
          <w:p w:rsidR="00F77C68" w:rsidRDefault="00F77C68" w:rsidP="00F77C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20" w:hanging="360"/>
            </w:pPr>
            <w:r>
              <w:t xml:space="preserve">Worst-case scenarios: old-school tech—“Slate and Stylus” </w:t>
            </w:r>
          </w:p>
        </w:tc>
      </w:tr>
    </w:tbl>
    <w:p w:rsidR="00F77C68" w:rsidRDefault="00F77C68" w:rsidP="00F77C68">
      <w:pPr>
        <w:spacing w:after="0"/>
        <w:jc w:val="center"/>
      </w:pPr>
    </w:p>
    <w:p w:rsidR="00F77C68" w:rsidRDefault="00F77C68" w:rsidP="00F77C68">
      <w:pPr>
        <w:pStyle w:val="NormalWeb"/>
        <w:jc w:val="center"/>
      </w:pPr>
      <w:r>
        <w:rPr>
          <w:b/>
          <w:bCs/>
        </w:rPr>
        <w:lastRenderedPageBreak/>
        <w:t xml:space="preserve">Photo 1. </w:t>
      </w:r>
    </w:p>
    <w:p w:rsidR="00F77C68" w:rsidRDefault="00F77C68" w:rsidP="00F77C68">
      <w:pPr>
        <w:jc w:val="center"/>
      </w:pPr>
      <w:r>
        <w:rPr>
          <w:noProof/>
        </w:rPr>
        <w:drawing>
          <wp:inline distT="0" distB="0" distL="0" distR="0">
            <wp:extent cx="8152130" cy="6509385"/>
            <wp:effectExtent l="2222" t="0" r="3493" b="3492"/>
            <wp:docPr id="4" name="Picture 4" descr="http://www.mtosmt.org/retrofit/mto.09.15.3/pacun_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tosmt.org/retrofit/mto.09.15.3/pacun_photo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52130" cy="650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68" w:rsidRDefault="00F77C68" w:rsidP="00F77C68">
      <w:pPr>
        <w:pStyle w:val="NormalWeb"/>
        <w:jc w:val="center"/>
      </w:pPr>
      <w:r>
        <w:rPr>
          <w:b/>
          <w:bCs/>
        </w:rPr>
        <w:lastRenderedPageBreak/>
        <w:t xml:space="preserve">Photo 2. </w:t>
      </w:r>
    </w:p>
    <w:p w:rsidR="00F77C68" w:rsidRDefault="00F77C68" w:rsidP="00F77C68">
      <w:pPr>
        <w:jc w:val="center"/>
      </w:pPr>
      <w:r>
        <w:rPr>
          <w:noProof/>
        </w:rPr>
        <w:drawing>
          <wp:inline distT="0" distB="0" distL="0" distR="0">
            <wp:extent cx="3053080" cy="6059805"/>
            <wp:effectExtent l="0" t="0" r="0" b="0"/>
            <wp:docPr id="3" name="Picture 3" descr="http://www.mtosmt.org/retrofit/mto.09.15.3/pacun_ph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tosmt.org/retrofit/mto.09.15.3/pacun_photo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605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68" w:rsidRDefault="00F77C68" w:rsidP="00F77C68">
      <w:pPr>
        <w:jc w:val="center"/>
        <w:rPr>
          <w:b/>
          <w:bCs/>
        </w:rPr>
      </w:pPr>
      <w:r>
        <w:br/>
      </w:r>
    </w:p>
    <w:p w:rsidR="00F77C68" w:rsidRDefault="00F77C68" w:rsidP="00F77C68">
      <w:pPr>
        <w:pStyle w:val="break"/>
        <w:jc w:val="center"/>
      </w:pPr>
      <w:r>
        <w:rPr>
          <w:b/>
          <w:bCs/>
        </w:rPr>
        <w:t xml:space="preserve">Example 1. </w:t>
      </w:r>
      <w:r>
        <w:t>Transcription of Lego rhythms</w:t>
      </w:r>
    </w:p>
    <w:p w:rsidR="00F77C68" w:rsidRDefault="00F77C68" w:rsidP="00F77C68">
      <w:pPr>
        <w:jc w:val="center"/>
      </w:pPr>
      <w:r>
        <w:rPr>
          <w:noProof/>
        </w:rPr>
        <w:drawing>
          <wp:inline distT="0" distB="0" distL="0" distR="0">
            <wp:extent cx="6400800" cy="1131654"/>
            <wp:effectExtent l="0" t="0" r="0" b="0"/>
            <wp:docPr id="2" name="Picture 2" descr="http://www.mtosmt.org/retrofit/mto.09.15.3/pacun_e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tosmt.org/retrofit/mto.09.15.3/pacun_ex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3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68" w:rsidRDefault="00F77C68" w:rsidP="00F77C68">
      <w:pPr>
        <w:pStyle w:val="NormalWeb"/>
        <w:jc w:val="center"/>
      </w:pPr>
      <w:r>
        <w:rPr>
          <w:b/>
          <w:bCs/>
        </w:rPr>
        <w:lastRenderedPageBreak/>
        <w:t xml:space="preserve">Figure 2. </w:t>
      </w:r>
      <w:r>
        <w:t>Super Quick Braille Primer</w:t>
      </w:r>
    </w:p>
    <w:tbl>
      <w:tblPr>
        <w:tblW w:w="12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F77C68" w:rsidRPr="00F77C68" w:rsidTr="00F77C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C68" w:rsidRPr="00F77C68" w:rsidRDefault="00F77C68" w:rsidP="00F77C68">
            <w:pPr>
              <w:pStyle w:val="NormalWeb"/>
              <w:ind w:left="675" w:right="885"/>
              <w:rPr>
                <w:sz w:val="20"/>
              </w:rPr>
            </w:pPr>
            <w:r w:rsidRPr="00F77C68">
              <w:rPr>
                <w:b/>
                <w:bCs/>
                <w:sz w:val="20"/>
              </w:rPr>
              <w:t>Basics</w:t>
            </w:r>
            <w:r w:rsidRPr="00F77C68">
              <w:rPr>
                <w:sz w:val="20"/>
              </w:rPr>
              <w:t xml:space="preserve">: </w:t>
            </w:r>
          </w:p>
          <w:p w:rsidR="00F77C68" w:rsidRPr="00F77C68" w:rsidRDefault="00F77C68" w:rsidP="00F77C68">
            <w:pPr>
              <w:pStyle w:val="NormalWeb"/>
              <w:ind w:left="675" w:right="885"/>
              <w:rPr>
                <w:sz w:val="20"/>
              </w:rPr>
            </w:pPr>
            <w:r w:rsidRPr="00F77C68">
              <w:rPr>
                <w:sz w:val="20"/>
              </w:rPr>
              <w:t xml:space="preserve">Six-dot cells: top four for pitch, bottom two for rhythm. Key signature and meter are shown at top of score. </w:t>
            </w:r>
            <w:r w:rsidRPr="00F77C68">
              <w:rPr>
                <w:sz w:val="20"/>
              </w:rPr>
              <w:br/>
            </w:r>
            <w:r w:rsidRPr="00F77C68">
              <w:rPr>
                <w:sz w:val="20"/>
              </w:rPr>
              <w:br/>
              <w:t xml:space="preserve">            Note equivalencies for rhythms: 1=1/16; 1/2=32nd, 1/4=64th, 1/8=128th. Gap=barline. </w:t>
            </w:r>
          </w:p>
          <w:p w:rsidR="00F77C68" w:rsidRPr="00F77C68" w:rsidRDefault="00F77C68" w:rsidP="00F77C68">
            <w:pPr>
              <w:pStyle w:val="NormalWeb"/>
              <w:ind w:left="675" w:right="885"/>
              <w:jc w:val="center"/>
              <w:rPr>
                <w:sz w:val="20"/>
              </w:rPr>
            </w:pPr>
            <w:r w:rsidRPr="00F77C68">
              <w:rPr>
                <w:noProof/>
                <w:sz w:val="20"/>
              </w:rPr>
              <w:drawing>
                <wp:inline distT="0" distB="0" distL="0" distR="0" wp14:anchorId="04DCB2EF" wp14:editId="21C92456">
                  <wp:extent cx="6183630" cy="1425575"/>
                  <wp:effectExtent l="0" t="0" r="7620" b="3175"/>
                  <wp:docPr id="1" name="Picture 1" descr="http://www.mtosmt.org/retrofit/mto.09.15.3/pacun_braill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tosmt.org/retrofit/mto.09.15.3/pacun_braill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630" cy="142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C68" w:rsidRPr="00F77C68" w:rsidRDefault="00F77C68" w:rsidP="00F77C68">
            <w:pPr>
              <w:pStyle w:val="NormalWeb"/>
              <w:ind w:left="675" w:right="885"/>
              <w:rPr>
                <w:sz w:val="20"/>
              </w:rPr>
            </w:pPr>
            <w:r w:rsidRPr="00F77C68">
              <w:rPr>
                <w:b/>
                <w:bCs/>
                <w:sz w:val="20"/>
              </w:rPr>
              <w:t>Additional cells necessary for (# of cells in parentheses)</w:t>
            </w:r>
            <w:r w:rsidRPr="00F77C68">
              <w:rPr>
                <w:sz w:val="20"/>
              </w:rPr>
              <w:t xml:space="preserve">: </w:t>
            </w:r>
          </w:p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19"/>
            </w:tblGrid>
            <w:tr w:rsidR="00F77C68" w:rsidRPr="00F77C6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7C68" w:rsidRPr="00F77C68" w:rsidRDefault="00F77C68" w:rsidP="00F77C68">
                  <w:pPr>
                    <w:ind w:left="675" w:right="885"/>
                    <w:rPr>
                      <w:sz w:val="18"/>
                    </w:rPr>
                  </w:pPr>
                  <w:r w:rsidRPr="00F77C68">
                    <w:rPr>
                      <w:sz w:val="18"/>
                    </w:rPr>
                    <w:t xml:space="preserve">Accidentals (2), Ties (2), Dynamics (2-4), Articulation (1–3), Slurs (2–3), Ornaments (1–2+) </w:t>
                  </w:r>
                </w:p>
                <w:p w:rsidR="00F77C68" w:rsidRPr="00F77C68" w:rsidRDefault="00F77C68" w:rsidP="00F77C68">
                  <w:pPr>
                    <w:pStyle w:val="NormalWeb"/>
                    <w:ind w:left="675" w:right="885"/>
                    <w:rPr>
                      <w:sz w:val="20"/>
                    </w:rPr>
                  </w:pPr>
                  <w:r w:rsidRPr="00F77C68">
                    <w:rPr>
                      <w:sz w:val="20"/>
                    </w:rPr>
                    <w:t>Repeat signs (cells) used whenever possible (measure level); signs also available for diatonic transposition of motives and measures.</w:t>
                  </w:r>
                </w:p>
              </w:tc>
            </w:tr>
          </w:tbl>
          <w:p w:rsidR="00F77C68" w:rsidRPr="00F77C68" w:rsidRDefault="00F77C68" w:rsidP="00F77C68">
            <w:pPr>
              <w:pStyle w:val="NormalWeb"/>
              <w:ind w:left="675" w:right="885"/>
              <w:rPr>
                <w:sz w:val="20"/>
              </w:rPr>
            </w:pPr>
            <w:r w:rsidRPr="00F77C68">
              <w:rPr>
                <w:b/>
                <w:bCs/>
                <w:sz w:val="20"/>
              </w:rPr>
              <w:t>Multiple-part formats</w:t>
            </w:r>
            <w:r w:rsidRPr="00F77C68">
              <w:rPr>
                <w:sz w:val="20"/>
              </w:rPr>
              <w:t xml:space="preserve">: </w:t>
            </w:r>
          </w:p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19"/>
            </w:tblGrid>
            <w:tr w:rsidR="00F77C68" w:rsidRPr="00F77C6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7C68" w:rsidRPr="00F77C68" w:rsidRDefault="00F77C68" w:rsidP="00F77C68">
                  <w:pPr>
                    <w:ind w:left="675" w:right="885"/>
                    <w:rPr>
                      <w:sz w:val="18"/>
                    </w:rPr>
                  </w:pPr>
                  <w:r w:rsidRPr="00F77C68">
                    <w:rPr>
                      <w:sz w:val="18"/>
                    </w:rPr>
                    <w:t xml:space="preserve">Two or more separate lines: in rough alignment, or unaligned. </w:t>
                  </w:r>
                </w:p>
                <w:p w:rsidR="00F77C68" w:rsidRPr="00F77C68" w:rsidRDefault="00F77C68" w:rsidP="00F77C68">
                  <w:pPr>
                    <w:pStyle w:val="NormalWeb"/>
                    <w:ind w:left="675" w:right="885"/>
                    <w:rPr>
                      <w:sz w:val="20"/>
                    </w:rPr>
                  </w:pPr>
                  <w:r w:rsidRPr="00F77C68">
                    <w:rPr>
                      <w:sz w:val="20"/>
                    </w:rPr>
                    <w:t xml:space="preserve">Keyboard-style chords: shown by diatonic intervals </w:t>
                  </w:r>
                  <w:r w:rsidRPr="00F77C68">
                    <w:rPr>
                      <w:b/>
                      <w:bCs/>
                      <w:sz w:val="20"/>
                    </w:rPr>
                    <w:t>above</w:t>
                  </w:r>
                  <w:r w:rsidRPr="00F77C68">
                    <w:rPr>
                      <w:sz w:val="20"/>
                    </w:rPr>
                    <w:t xml:space="preserve"> the bass (i.e. piano left hand), but </w:t>
                  </w:r>
                  <w:r w:rsidRPr="00F77C68">
                    <w:rPr>
                      <w:b/>
                      <w:bCs/>
                      <w:sz w:val="20"/>
                    </w:rPr>
                    <w:t>below</w:t>
                  </w:r>
                  <w:r w:rsidRPr="00F77C68">
                    <w:rPr>
                      <w:sz w:val="20"/>
                    </w:rPr>
                    <w:t xml:space="preserve"> the melody (</w:t>
                  </w:r>
                  <w:proofErr w:type="spellStart"/>
                  <w:r w:rsidRPr="00F77C68">
                    <w:rPr>
                      <w:sz w:val="20"/>
                    </w:rPr>
                    <w:t>i.e</w:t>
                  </w:r>
                  <w:proofErr w:type="spellEnd"/>
                  <w:r w:rsidRPr="00F77C68">
                    <w:rPr>
                      <w:sz w:val="20"/>
                    </w:rPr>
                    <w:t xml:space="preserve"> piano right hand)—all from given pitch. </w:t>
                  </w:r>
                </w:p>
                <w:p w:rsidR="00F77C68" w:rsidRPr="00F77C68" w:rsidRDefault="00F77C68" w:rsidP="00F77C68">
                  <w:pPr>
                    <w:pStyle w:val="NormalWeb"/>
                    <w:ind w:left="675" w:right="885"/>
                    <w:rPr>
                      <w:sz w:val="20"/>
                    </w:rPr>
                  </w:pPr>
                  <w:r w:rsidRPr="00F77C68">
                    <w:rPr>
                      <w:sz w:val="20"/>
                    </w:rPr>
                    <w:t xml:space="preserve">“In-accord” format for soprano/alto and tenor/bass format (SA/TB): here the A follows the S; the student must assemble the measure in their head or at the keyboard. </w:t>
                  </w:r>
                </w:p>
                <w:p w:rsidR="00F77C68" w:rsidRPr="00F77C68" w:rsidRDefault="00F77C68" w:rsidP="00F77C68">
                  <w:pPr>
                    <w:pStyle w:val="NormalWeb"/>
                    <w:ind w:left="675" w:right="885"/>
                    <w:rPr>
                      <w:sz w:val="20"/>
                    </w:rPr>
                  </w:pPr>
                  <w:r w:rsidRPr="00F77C68">
                    <w:rPr>
                      <w:sz w:val="20"/>
                    </w:rPr>
                    <w:t xml:space="preserve">Specialized symbols available for all manner of keyboard (stemming) and string formats. </w:t>
                  </w:r>
                </w:p>
              </w:tc>
            </w:tr>
          </w:tbl>
          <w:p w:rsidR="00F77C68" w:rsidRPr="00F77C68" w:rsidRDefault="00F77C68" w:rsidP="00F77C68">
            <w:pPr>
              <w:pStyle w:val="NormalWeb"/>
              <w:ind w:left="675" w:right="795"/>
              <w:rPr>
                <w:sz w:val="20"/>
              </w:rPr>
            </w:pPr>
            <w:r w:rsidRPr="00F77C68">
              <w:rPr>
                <w:b/>
                <w:bCs/>
                <w:sz w:val="20"/>
              </w:rPr>
              <w:t>Large-scale format</w:t>
            </w:r>
            <w:r w:rsidRPr="00F77C68">
              <w:rPr>
                <w:sz w:val="20"/>
              </w:rPr>
              <w:t xml:space="preserve">: </w:t>
            </w:r>
          </w:p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19"/>
            </w:tblGrid>
            <w:tr w:rsidR="00F77C68" w:rsidRPr="00F77C6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7C68" w:rsidRPr="00F77C68" w:rsidRDefault="00F77C68" w:rsidP="00F77C68">
                  <w:pPr>
                    <w:ind w:left="675" w:right="795"/>
                    <w:rPr>
                      <w:sz w:val="18"/>
                    </w:rPr>
                  </w:pPr>
                  <w:r w:rsidRPr="00F77C68">
                    <w:rPr>
                      <w:sz w:val="18"/>
                    </w:rPr>
                    <w:t xml:space="preserve">Music is best parsed into small segments (8–16 measures for single lines, 4–8 measures for multiple parts—all depending upon the skill and ability of the reader/musician). </w:t>
                  </w:r>
                </w:p>
              </w:tc>
            </w:tr>
          </w:tbl>
          <w:p w:rsidR="00F77C68" w:rsidRPr="00F77C68" w:rsidRDefault="00F77C68" w:rsidP="00F77C68">
            <w:pPr>
              <w:pStyle w:val="NormalWeb"/>
              <w:ind w:left="675" w:right="795"/>
              <w:rPr>
                <w:sz w:val="20"/>
              </w:rPr>
            </w:pPr>
            <w:r w:rsidRPr="00F77C68">
              <w:rPr>
                <w:b/>
                <w:bCs/>
                <w:sz w:val="20"/>
              </w:rPr>
              <w:t>Caveats</w:t>
            </w:r>
            <w:r w:rsidRPr="00F77C68">
              <w:rPr>
                <w:sz w:val="20"/>
              </w:rPr>
              <w:t xml:space="preserve">: </w:t>
            </w:r>
          </w:p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19"/>
            </w:tblGrid>
            <w:tr w:rsidR="00F77C68" w:rsidRPr="00F77C6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7C68" w:rsidRPr="00F77C68" w:rsidRDefault="00F77C68" w:rsidP="00F77C68">
                  <w:pPr>
                    <w:ind w:left="675" w:right="795"/>
                    <w:rPr>
                      <w:sz w:val="18"/>
                    </w:rPr>
                  </w:pPr>
                  <w:r w:rsidRPr="00F77C68">
                    <w:rPr>
                      <w:sz w:val="18"/>
                    </w:rPr>
                    <w:t>Braille notation is distinct from Braille writing: “</w:t>
                  </w:r>
                  <w:proofErr w:type="gramStart"/>
                  <w:r w:rsidRPr="00F77C68">
                    <w:rPr>
                      <w:sz w:val="18"/>
                    </w:rPr>
                    <w:t>A[</w:t>
                  </w:r>
                  <w:proofErr w:type="gramEnd"/>
                  <w:r w:rsidRPr="00F77C68">
                    <w:rPr>
                      <w:sz w:val="18"/>
                    </w:rPr>
                    <w:t xml:space="preserve">4]” ≠ “A” [tree ...]. </w:t>
                  </w:r>
                </w:p>
                <w:p w:rsidR="00F77C68" w:rsidRPr="00F77C68" w:rsidRDefault="00F77C68" w:rsidP="00F77C68">
                  <w:pPr>
                    <w:pStyle w:val="NormalWeb"/>
                    <w:ind w:left="675" w:right="795"/>
                    <w:rPr>
                      <w:sz w:val="20"/>
                    </w:rPr>
                  </w:pPr>
                  <w:r w:rsidRPr="00F77C68">
                    <w:rPr>
                      <w:sz w:val="20"/>
                    </w:rPr>
                    <w:t xml:space="preserve">Older scores may contain different cells and use unconventional formats. </w:t>
                  </w:r>
                </w:p>
                <w:p w:rsidR="00F77C68" w:rsidRPr="00F77C68" w:rsidRDefault="00F77C68" w:rsidP="00F77C68">
                  <w:pPr>
                    <w:pStyle w:val="NormalWeb"/>
                    <w:ind w:left="675" w:right="795"/>
                    <w:rPr>
                      <w:sz w:val="20"/>
                    </w:rPr>
                  </w:pPr>
                  <w:r w:rsidRPr="00F77C68">
                    <w:rPr>
                      <w:sz w:val="20"/>
                    </w:rPr>
                    <w:t xml:space="preserve">A linear and additive system </w:t>
                  </w:r>
                </w:p>
                <w:p w:rsidR="00F77C68" w:rsidRPr="00F77C68" w:rsidRDefault="00F77C68" w:rsidP="00F77C68">
                  <w:pPr>
                    <w:pStyle w:val="NormalWeb"/>
                    <w:ind w:left="675" w:right="795"/>
                    <w:rPr>
                      <w:sz w:val="20"/>
                    </w:rPr>
                  </w:pPr>
                  <w:r w:rsidRPr="00F77C68">
                    <w:rPr>
                      <w:sz w:val="20"/>
                    </w:rPr>
                    <w:t>Braille Literacy: owing to recent computer technology, as few as 20% of young blind music students now read Braille notation with any degree of fluency.</w:t>
                  </w:r>
                </w:p>
              </w:tc>
            </w:tr>
          </w:tbl>
          <w:p w:rsidR="00F77C68" w:rsidRPr="00F77C68" w:rsidRDefault="00F77C68">
            <w:pPr>
              <w:jc w:val="center"/>
              <w:rPr>
                <w:sz w:val="18"/>
              </w:rPr>
            </w:pPr>
          </w:p>
        </w:tc>
      </w:tr>
    </w:tbl>
    <w:p w:rsidR="00850EC0" w:rsidRPr="00F77C68" w:rsidRDefault="008325D6" w:rsidP="008325D6">
      <w:pPr>
        <w:rPr>
          <w:sz w:val="18"/>
        </w:rPr>
      </w:pPr>
      <w:bookmarkStart w:id="0" w:name="_GoBack"/>
      <w:bookmarkEnd w:id="0"/>
    </w:p>
    <w:sectPr w:rsidR="00850EC0" w:rsidRPr="00F77C68" w:rsidSect="004B2AC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70B8"/>
    <w:multiLevelType w:val="multilevel"/>
    <w:tmpl w:val="07A6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C5F83"/>
    <w:multiLevelType w:val="multilevel"/>
    <w:tmpl w:val="DC68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42210"/>
    <w:multiLevelType w:val="multilevel"/>
    <w:tmpl w:val="FB3C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664BA6"/>
    <w:multiLevelType w:val="multilevel"/>
    <w:tmpl w:val="AC9A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3">
    <w:abstractNumId w:val="3"/>
    <w:lvlOverride w:ilvl="0">
      <w:lvl w:ilvl="0">
        <w:numFmt w:val="lowerLetter"/>
        <w:lvlText w:val="%1."/>
        <w:lvlJc w:val="lef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6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C4"/>
    <w:rsid w:val="000E4851"/>
    <w:rsid w:val="000F7021"/>
    <w:rsid w:val="002945C8"/>
    <w:rsid w:val="004B2AC4"/>
    <w:rsid w:val="004C42AE"/>
    <w:rsid w:val="005F321F"/>
    <w:rsid w:val="00697934"/>
    <w:rsid w:val="008325D6"/>
    <w:rsid w:val="00A412E3"/>
    <w:rsid w:val="00C41B27"/>
    <w:rsid w:val="00C813C7"/>
    <w:rsid w:val="00C829FA"/>
    <w:rsid w:val="00CD3C50"/>
    <w:rsid w:val="00F7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FF15E-2E6E-4F04-ABD3-1F2989DC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2AC4"/>
    <w:rPr>
      <w:color w:val="0000FF"/>
      <w:u w:val="single"/>
    </w:rPr>
  </w:style>
  <w:style w:type="paragraph" w:customStyle="1" w:styleId="break">
    <w:name w:val="break"/>
    <w:basedOn w:val="Normal"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1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osmt.org/issues/mto.09.15.3/mto.09.15.3.pacun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413</Words>
  <Characters>2752</Characters>
  <Application>Microsoft Office Word</Application>
  <DocSecurity>0</DocSecurity>
  <Lines>183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Yorgason</dc:creator>
  <cp:keywords/>
  <dc:description/>
  <cp:lastModifiedBy>Brent Yorgason</cp:lastModifiedBy>
  <cp:revision>3</cp:revision>
  <dcterms:created xsi:type="dcterms:W3CDTF">2016-02-21T07:54:00Z</dcterms:created>
  <dcterms:modified xsi:type="dcterms:W3CDTF">2016-02-21T07:54:00Z</dcterms:modified>
</cp:coreProperties>
</file>