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6372" w14:paraId="183D7D29" w14:textId="77777777" w:rsidTr="00686AC4">
        <w:trPr>
          <w:tblCellSpacing w:w="15" w:type="dxa"/>
          <w:jc w:val="center"/>
        </w:trPr>
        <w:tc>
          <w:tcPr>
            <w:tcW w:w="4947" w:type="pct"/>
            <w:vAlign w:val="center"/>
            <w:hideMark/>
          </w:tcPr>
          <w:p w14:paraId="71B007B0" w14:textId="77777777" w:rsidR="00CD6372" w:rsidRDefault="00CD63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98B56" wp14:editId="7E9D6C91">
                  <wp:extent cx="6858000" cy="1071372"/>
                  <wp:effectExtent l="0" t="0" r="0" b="0"/>
                  <wp:docPr id="24" name="Picture 2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0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9BEF5" w14:textId="2909F521" w:rsidR="00686AC4" w:rsidRDefault="00CD6372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MTO 2</w:t>
            </w:r>
            <w:r w:rsidR="00AA617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2565C0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Examples: </w:t>
            </w:r>
            <w:proofErr w:type="spellStart"/>
            <w:r w:rsidR="002565C0">
              <w:rPr>
                <w:rFonts w:ascii="Arial" w:hAnsi="Arial" w:cs="Arial"/>
                <w:b/>
                <w:bCs/>
              </w:rPr>
              <w:t>Bazayev</w:t>
            </w:r>
            <w:proofErr w:type="spellEnd"/>
            <w:r w:rsidR="002565C0">
              <w:rPr>
                <w:rFonts w:ascii="Arial" w:hAnsi="Arial" w:cs="Arial"/>
                <w:b/>
                <w:bCs/>
              </w:rPr>
              <w:t xml:space="preserve">, </w:t>
            </w:r>
            <w:r w:rsidR="002565C0" w:rsidRPr="002565C0">
              <w:rPr>
                <w:rFonts w:ascii="Arial" w:hAnsi="Arial" w:cs="Arial"/>
                <w:b/>
                <w:bCs/>
              </w:rPr>
              <w:t xml:space="preserve">An Octatonic History of </w:t>
            </w:r>
            <w:r w:rsidR="002565C0">
              <w:rPr>
                <w:rFonts w:ascii="Arial" w:hAnsi="Arial" w:cs="Arial"/>
                <w:b/>
                <w:bCs/>
              </w:rPr>
              <w:br/>
            </w:r>
            <w:r w:rsidR="002565C0" w:rsidRPr="002565C0">
              <w:rPr>
                <w:rFonts w:ascii="Arial" w:hAnsi="Arial" w:cs="Arial"/>
                <w:b/>
                <w:bCs/>
              </w:rPr>
              <w:t>Prokofiev’s Compositional Oeuvre</w:t>
            </w:r>
          </w:p>
          <w:p w14:paraId="3F6B7392" w14:textId="6FB78E87" w:rsidR="00CD6372" w:rsidRDefault="00CD6372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 w:rsidR="002E7E66">
              <w:t xml:space="preserve"> </w:t>
            </w:r>
            <w:r w:rsidR="002565C0" w:rsidRPr="002565C0">
              <w:rPr>
                <w:rStyle w:val="Hyperlink"/>
              </w:rPr>
              <w:t>http://mtosmt.org/issues/mto.18.24.2/mto.18.24.2.bazayev.html</w:t>
            </w:r>
            <w:r w:rsidR="007F5930">
              <w:t xml:space="preserve"> </w:t>
            </w:r>
            <w:r w:rsidR="00836EF0">
              <w:t xml:space="preserve"> </w:t>
            </w:r>
            <w:r w:rsidR="002E7E66">
              <w:t xml:space="preserve"> </w:t>
            </w:r>
            <w:r w:rsidR="006A5145">
              <w:t xml:space="preserve"> </w:t>
            </w:r>
            <w:r w:rsidR="008E60D0">
              <w:t xml:space="preserve"> </w:t>
            </w:r>
          </w:p>
        </w:tc>
      </w:tr>
    </w:tbl>
    <w:p w14:paraId="4AA33853" w14:textId="77777777" w:rsidR="002565C0" w:rsidRPr="002565C0" w:rsidRDefault="002E7E66" w:rsidP="002565C0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 w:rsidRPr="002E7E66">
        <w:rPr>
          <w:rFonts w:ascii="Palatino Linotype" w:hAnsi="Palatino Linotype"/>
          <w:b/>
          <w:bCs/>
          <w:color w:val="111111"/>
        </w:rPr>
        <w:br/>
      </w:r>
      <w:r w:rsidR="007F5930" w:rsidRPr="007F5930">
        <w:rPr>
          <w:rFonts w:ascii="Palatino Linotype" w:hAnsi="Palatino Linotype"/>
          <w:b/>
          <w:bCs/>
          <w:color w:val="111111"/>
        </w:rPr>
        <w:br/>
      </w:r>
      <w:r w:rsidR="002565C0" w:rsidRPr="002565C0">
        <w:rPr>
          <w:rFonts w:ascii="Palatino Linotype" w:hAnsi="Palatino Linotype"/>
          <w:b/>
          <w:bCs/>
          <w:color w:val="111111"/>
        </w:rPr>
        <w:br/>
        <w:t>Example 1a. </w:t>
      </w:r>
      <w:r w:rsidR="002565C0" w:rsidRPr="002565C0">
        <w:rPr>
          <w:rFonts w:ascii="Palatino Linotype" w:hAnsi="Palatino Linotype"/>
          <w:color w:val="111111"/>
        </w:rPr>
        <w:t>Rimsky-Korsakov’s </w:t>
      </w:r>
      <w:r w:rsidR="002565C0" w:rsidRPr="002565C0">
        <w:rPr>
          <w:rFonts w:ascii="Palatino Linotype" w:hAnsi="Palatino Linotype"/>
          <w:i/>
          <w:iCs/>
          <w:color w:val="111111"/>
        </w:rPr>
        <w:t>Ton-</w:t>
      </w:r>
      <w:proofErr w:type="spellStart"/>
      <w:r w:rsidR="002565C0" w:rsidRPr="002565C0">
        <w:rPr>
          <w:rFonts w:ascii="Palatino Linotype" w:hAnsi="Palatino Linotype"/>
          <w:i/>
          <w:iCs/>
          <w:color w:val="111111"/>
        </w:rPr>
        <w:t>Poluton</w:t>
      </w:r>
      <w:proofErr w:type="spellEnd"/>
      <w:r w:rsidR="002565C0" w:rsidRPr="002565C0">
        <w:rPr>
          <w:rFonts w:ascii="Palatino Linotype" w:hAnsi="Palatino Linotype"/>
          <w:color w:val="111111"/>
        </w:rPr>
        <w:t> scale (also </w:t>
      </w:r>
      <w:r w:rsidR="002565C0" w:rsidRPr="002565C0">
        <w:rPr>
          <w:rFonts w:ascii="Palatino Linotype" w:hAnsi="Palatino Linotype"/>
          <w:i/>
          <w:iCs/>
          <w:color w:val="111111"/>
        </w:rPr>
        <w:t xml:space="preserve">gamma </w:t>
      </w:r>
      <w:proofErr w:type="spellStart"/>
      <w:r w:rsidR="002565C0" w:rsidRPr="002565C0">
        <w:rPr>
          <w:rFonts w:ascii="Palatino Linotype" w:hAnsi="Palatino Linotype"/>
          <w:i/>
          <w:iCs/>
          <w:color w:val="111111"/>
        </w:rPr>
        <w:t>Rimskovo-Korsakova</w:t>
      </w:r>
      <w:proofErr w:type="spellEnd"/>
      <w:r w:rsidR="002565C0" w:rsidRPr="002565C0">
        <w:rPr>
          <w:rFonts w:ascii="Palatino Linotype" w:hAnsi="Palatino Linotype"/>
          <w:color w:val="111111"/>
        </w:rPr>
        <w:t>)</w:t>
      </w:r>
    </w:p>
    <w:p w14:paraId="72B4A9EE" w14:textId="20057051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D647E9C" wp14:editId="7FA8CD12">
            <wp:extent cx="5943600" cy="1260043"/>
            <wp:effectExtent l="0" t="0" r="0" b="0"/>
            <wp:docPr id="23" name="Picture 23" descr="http://mtosmt.org/issues/mto.18.24.2/bazayev_ex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osmt.org/issues/mto.18.24.2/bazayev_ex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113D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CEA1BB7" w14:textId="7777777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1b. </w:t>
      </w:r>
      <w:proofErr w:type="spellStart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Kholopov’s</w:t>
      </w:r>
      <w:proofErr w:type="spellEnd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</w:t>
      </w:r>
      <w:proofErr w:type="spellStart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hemitonic</w:t>
      </w:r>
      <w:proofErr w:type="spellEnd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(half-step) system applied to Rimsky-Korsakov’s </w:t>
      </w:r>
      <w:proofErr w:type="spellStart"/>
      <w:r w:rsidRPr="002565C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Sadko</w:t>
      </w:r>
      <w:proofErr w:type="spellEnd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 (1895–6) (</w:t>
      </w:r>
      <w:proofErr w:type="spellStart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Kholopov</w:t>
      </w:r>
      <w:proofErr w:type="spellEnd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1988, 212–13)</w:t>
      </w:r>
    </w:p>
    <w:p w14:paraId="7C360B0D" w14:textId="18B06553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359F858" wp14:editId="664C5045">
            <wp:extent cx="6762750" cy="2324100"/>
            <wp:effectExtent l="0" t="0" r="0" b="0"/>
            <wp:docPr id="22" name="Picture 22" descr="http://mtosmt.org/issues/mto.18.24.2/bazayev_ex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issues/mto.18.24.2/bazayev_ex1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2EE2E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25EA772" w14:textId="77777777" w:rsid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4888294F" w14:textId="09D02D18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1c. </w:t>
      </w:r>
      <w:proofErr w:type="spellStart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Yavorsky’s</w:t>
      </w:r>
      <w:proofErr w:type="spellEnd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duplex-chain mode, which describes the diminished mode (octatonic collection) as a stable resolution of four sets of tritones (after Ewell 2012, Example 9a)</w:t>
      </w:r>
    </w:p>
    <w:p w14:paraId="2AA5AA4C" w14:textId="588157D9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D99215C" wp14:editId="607366DF">
            <wp:extent cx="6858000" cy="2314222"/>
            <wp:effectExtent l="0" t="0" r="0" b="0"/>
            <wp:docPr id="21" name="Picture 21" descr="http://mtosmt.org/issues/mto.18.24.2/bazayev_ex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issues/mto.18.24.2/bazayev_ex1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1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2DCFC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7646BF1" w14:textId="7777777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1d.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Modal Gravitation for the C-Duplex-Major Mode (after Ewell 2012, Example 11)</w:t>
      </w:r>
    </w:p>
    <w:p w14:paraId="528DBF76" w14:textId="6F82B492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6A194A6" wp14:editId="690F5C4E">
            <wp:extent cx="6858000" cy="1495778"/>
            <wp:effectExtent l="0" t="0" r="0" b="9525"/>
            <wp:docPr id="20" name="Picture 20" descr="http://mtosmt.org/issues/mto.18.24.2/bazayev_ex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issues/mto.18.24.2/bazayev_ex1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9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6F393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8A893DA" w14:textId="77777777" w:rsid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56D75763" w14:textId="77777777" w:rsidR="002565C0" w:rsidRDefault="002565C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76EB22D8" w14:textId="1FC800E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1e.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Berger’s octatonic collections</w:t>
      </w:r>
    </w:p>
    <w:p w14:paraId="35A4AD82" w14:textId="05545EB0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FD0700E" wp14:editId="0487A42F">
            <wp:extent cx="3200400" cy="3144982"/>
            <wp:effectExtent l="0" t="0" r="0" b="0"/>
            <wp:docPr id="19" name="Picture 19" descr="http://mtosmt.org/issues/mto.18.24.2/bazayev_ex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issues/mto.18.24.2/bazayev_ex1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14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12394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5DEA5F5" w14:textId="7777777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2.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The diminished mode in </w:t>
      </w:r>
      <w:r w:rsidRPr="002565C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The Love for Three Oranges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 (1919), rehearsal 68 (1st tableau), as identified by </w:t>
      </w:r>
      <w:proofErr w:type="spellStart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Kholopov</w:t>
      </w:r>
      <w:proofErr w:type="spellEnd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1967a, 247–9</w:t>
      </w:r>
    </w:p>
    <w:p w14:paraId="49915C87" w14:textId="74BC1DA5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A67BB6E" wp14:editId="271F3EE2">
            <wp:extent cx="5715000" cy="1733550"/>
            <wp:effectExtent l="0" t="0" r="0" b="0"/>
            <wp:docPr id="18" name="Picture 18" descr="http://mtosmt.org/issues/mto.18.24.2/bazayev_e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issues/mto.18.24.2/bazayev_ex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8D8B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F68EDA2" w14:textId="77777777" w:rsidR="002565C0" w:rsidRDefault="002565C0" w:rsidP="002565C0">
      <w:pPr>
        <w:spacing w:after="240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4CBAFD9C" w14:textId="77777777" w:rsidR="002565C0" w:rsidRDefault="002565C0" w:rsidP="002565C0">
      <w:pPr>
        <w:spacing w:after="240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6967A8C4" w14:textId="77777777" w:rsidR="002565C0" w:rsidRDefault="002565C0" w:rsidP="002565C0">
      <w:pPr>
        <w:spacing w:after="240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603A69AC" w14:textId="77777777" w:rsidR="002565C0" w:rsidRDefault="002565C0" w:rsidP="002565C0">
      <w:pPr>
        <w:spacing w:after="240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78A652EB" w14:textId="77777777" w:rsidR="002565C0" w:rsidRDefault="002565C0" w:rsidP="002565C0">
      <w:pPr>
        <w:spacing w:after="240" w:line="240" w:lineRule="auto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401E0F9D" w14:textId="77777777" w:rsidR="002565C0" w:rsidRDefault="002565C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191DF9EC" w14:textId="54F11777" w:rsidR="002565C0" w:rsidRPr="002565C0" w:rsidRDefault="002565C0" w:rsidP="002565C0">
      <w:pPr>
        <w:spacing w:after="240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3. </w:t>
      </w:r>
      <w:r w:rsidRPr="002565C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Visions fugitives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, no. 3 (1921), mm. 13–22, with F as a non-collection tone</w:t>
      </w:r>
    </w:p>
    <w:p w14:paraId="2E097FD8" w14:textId="3EE73FFC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88E25A1" wp14:editId="7FA0037F">
            <wp:extent cx="6858000" cy="6858000"/>
            <wp:effectExtent l="0" t="0" r="0" b="0"/>
            <wp:docPr id="17" name="Picture 17" descr="http://mtosmt.org/issues/mto.18.24.2/bazayev_e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issues/mto.18.24.2/bazayev_ex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4248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06D8A72" w14:textId="77777777" w:rsid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3F14D627" w14:textId="77777777" w:rsid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479B710F" w14:textId="77777777" w:rsid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164DA292" w14:textId="7F0A8B30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4a.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“Quarrel” from Six Pieces for Piano, </w:t>
      </w:r>
      <w:r w:rsidRPr="002565C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Cinderella Suite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 (1944), op. 102, main theme, mm. 38–48; Octatonic III, with D</w:t>
      </w:r>
      <w:r w:rsidRPr="002565C0">
        <w:rPr>
          <w:rFonts w:ascii="Palatino Linotype" w:eastAsia="Times New Roman" w:hAnsi="Palatino Linotype" w:cs="Times New Roman"/>
          <w:noProof/>
          <w:color w:val="111111"/>
          <w:sz w:val="24"/>
          <w:szCs w:val="24"/>
        </w:rPr>
        <w:drawing>
          <wp:inline distT="0" distB="0" distL="0" distR="0" wp14:anchorId="304673F2" wp14:editId="729AE766">
            <wp:extent cx="66675" cy="152400"/>
            <wp:effectExtent l="0" t="0" r="9525" b="0"/>
            <wp:docPr id="16" name="Picture 16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la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 and </w:t>
      </w:r>
      <w:proofErr w:type="spellStart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G as</w:t>
      </w:r>
      <w:proofErr w:type="spellEnd"/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non-collection tones</w:t>
      </w:r>
    </w:p>
    <w:p w14:paraId="3B62696C" w14:textId="773DC4F1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9DAD851" wp14:editId="0C932338">
            <wp:extent cx="6858000" cy="4697730"/>
            <wp:effectExtent l="0" t="0" r="0" b="7620"/>
            <wp:docPr id="15" name="Picture 15" descr="http://mtosmt.org/issues/mto.18.24.2/bazayev_ex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issues/mto.18.24.2/bazayev_ex4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3186B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F7CA5F3" w14:textId="4BF8EFE0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4b.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The linear progressions with non-chord tones D</w:t>
      </w:r>
      <w:r w:rsidRPr="002565C0">
        <w:rPr>
          <w:rFonts w:ascii="Palatino Linotype" w:eastAsia="Times New Roman" w:hAnsi="Palatino Linotype" w:cs="Times New Roman"/>
          <w:noProof/>
          <w:color w:val="111111"/>
          <w:sz w:val="24"/>
          <w:szCs w:val="24"/>
        </w:rPr>
        <w:drawing>
          <wp:inline distT="0" distB="0" distL="0" distR="0" wp14:anchorId="7BA96740" wp14:editId="576EAD3D">
            <wp:extent cx="66675" cy="152400"/>
            <wp:effectExtent l="0" t="0" r="9525" b="0"/>
            <wp:docPr id="14" name="Picture 14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la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 and G</w:t>
      </w:r>
    </w:p>
    <w:p w14:paraId="4BF73664" w14:textId="29199BE6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CEAFB8F" wp14:editId="2F528ED6">
            <wp:extent cx="6858000" cy="1714500"/>
            <wp:effectExtent l="0" t="0" r="0" b="0"/>
            <wp:docPr id="13" name="Picture 13" descr="http://mtosmt.org/issues/mto.18.24.2/bazayev_ex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8.24.2/bazayev_ex4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6F5F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E0CC48E" w14:textId="77777777" w:rsidR="002565C0" w:rsidRDefault="002565C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07336F93" w14:textId="0B4CD825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5a.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“March” from </w:t>
      </w:r>
      <w:r w:rsidRPr="002565C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The Love for Three Oranges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, op. 33 (1919), mm. 1–6, Octatonic III, with E as non-chord tone</w:t>
      </w:r>
    </w:p>
    <w:p w14:paraId="5B4C08A2" w14:textId="5B526561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4DC179C9" wp14:editId="4E0CE6B5">
            <wp:extent cx="6858000" cy="5122926"/>
            <wp:effectExtent l="0" t="0" r="0" b="1905"/>
            <wp:docPr id="12" name="Picture 12" descr="http://mtosmt.org/issues/mto.18.24.2/bazayev_ex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issues/mto.18.24.2/bazayev_ex5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2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40B77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B29DB93" w14:textId="77777777" w:rsidR="002565C0" w:rsidRDefault="002565C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43689B30" w14:textId="578A2E94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5b.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The dissonant E-natural pedal point with its final resolution at m. 6 with minor dominant harmony</w:t>
      </w:r>
    </w:p>
    <w:p w14:paraId="1F165ACE" w14:textId="314C80E1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269EFE2" wp14:editId="210B447A">
            <wp:extent cx="6858000" cy="3929634"/>
            <wp:effectExtent l="0" t="0" r="0" b="0"/>
            <wp:docPr id="11" name="Picture 11" descr="http://mtosmt.org/issues/mto.18.24.2/bazayev_ex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issues/mto.18.24.2/bazayev_ex5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2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6468F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0EDBEDC" w14:textId="7777777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Table 1.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The form chart of Sonata no. 6 (1940), I</w:t>
      </w:r>
    </w:p>
    <w:p w14:paraId="3BBFA868" w14:textId="393B55C0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5247F1B" wp14:editId="05327944">
            <wp:extent cx="6858000" cy="1325880"/>
            <wp:effectExtent l="0" t="0" r="0" b="7620"/>
            <wp:docPr id="10" name="Picture 10" descr="http://mtosmt.org/issues/mto.18.24.2/bazayev_tabl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issues/mto.18.24.2/bazayev_table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C773F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FAA472C" w14:textId="77777777" w:rsidR="002565C0" w:rsidRDefault="002565C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6D678C8B" w14:textId="702968E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6a.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Sonata no. 6, opening theme, mm. 1–11, Octatonic I, with D as a non-collection tone</w:t>
      </w:r>
    </w:p>
    <w:p w14:paraId="38879679" w14:textId="79CFB5D9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42CE5A7" wp14:editId="6A5B971D">
            <wp:extent cx="6126480" cy="8476725"/>
            <wp:effectExtent l="0" t="0" r="7620" b="635"/>
            <wp:docPr id="9" name="Picture 9" descr="http://mtosmt.org/issues/mto.18.24.2/bazayev_ex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issues/mto.18.24.2/bazayev_ex6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4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D8A8D" w14:textId="25361666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6b.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The main theme of the development section, mm. 92–95, featuring the Octatonic III collection, with C</w:t>
      </w:r>
      <w:r w:rsidRPr="002565C0">
        <w:rPr>
          <w:rFonts w:ascii="Palatino Linotype" w:eastAsia="Times New Roman" w:hAnsi="Palatino Linotype" w:cs="Times New Roman"/>
          <w:noProof/>
          <w:color w:val="111111"/>
          <w:sz w:val="24"/>
          <w:szCs w:val="24"/>
        </w:rPr>
        <w:drawing>
          <wp:inline distT="0" distB="0" distL="0" distR="0" wp14:anchorId="29733660" wp14:editId="7347D151">
            <wp:extent cx="66675" cy="152400"/>
            <wp:effectExtent l="0" t="0" r="9525" b="0"/>
            <wp:docPr id="7" name="Picture 7" descr="sha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har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 as its non-chord tone</w:t>
      </w:r>
    </w:p>
    <w:p w14:paraId="66594A04" w14:textId="7C28110B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43F9BA45" wp14:editId="7D68DFBA">
            <wp:extent cx="6858000" cy="2875117"/>
            <wp:effectExtent l="0" t="0" r="0" b="1905"/>
            <wp:docPr id="6" name="Picture 6" descr="http://mtosmt.org/issues/mto.18.24.2/bazayev_ex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issues/mto.18.24.2/bazayev_ex6b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7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72F8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03C3CB4" w14:textId="7777777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Table 2.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The form chart of Sonata no. 6, IV</w:t>
      </w:r>
    </w:p>
    <w:p w14:paraId="51F1B076" w14:textId="5ECCD639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E6BC826" wp14:editId="4CAAB39C">
            <wp:extent cx="6858000" cy="1323594"/>
            <wp:effectExtent l="0" t="0" r="0" b="0"/>
            <wp:docPr id="3" name="Picture 3" descr="http://mtosmt.org/issues/mto.18.24.2/bazayev_tabl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issues/mto.18.24.2/bazayev_table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2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B8E70" w14:textId="77777777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7CF2F21" w14:textId="77777777" w:rsidR="002565C0" w:rsidRDefault="002565C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166423ED" w14:textId="24E2B1E4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6c.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Sonata no. 6, IV, mm. 1–15, opening theme, Octatonic I, with B and D as non-chord tones</w:t>
      </w:r>
    </w:p>
    <w:p w14:paraId="1AC2E848" w14:textId="41DAEFAC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7EA46E6" wp14:editId="45ECB4D9">
            <wp:extent cx="6858000" cy="7969811"/>
            <wp:effectExtent l="0" t="0" r="0" b="0"/>
            <wp:docPr id="2" name="Picture 2" descr="http://mtosmt.org/issues/mto.18.24.2/bazayev_ex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issues/mto.18.24.2/bazayev_ex6c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96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D9F0" w14:textId="524FBA69" w:rsidR="002565C0" w:rsidRPr="002565C0" w:rsidRDefault="002565C0" w:rsidP="00256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296A679" w14:textId="77777777" w:rsidR="002565C0" w:rsidRPr="002565C0" w:rsidRDefault="002565C0" w:rsidP="002565C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2565C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6d. </w:t>
      </w:r>
      <w:r w:rsidRPr="002565C0">
        <w:rPr>
          <w:rFonts w:ascii="Palatino Linotype" w:eastAsia="Times New Roman" w:hAnsi="Palatino Linotype" w:cs="Times New Roman"/>
          <w:color w:val="111111"/>
          <w:sz w:val="24"/>
          <w:szCs w:val="24"/>
        </w:rPr>
        <w:t>Sonata no. 6, IV, climax, Octatonic I, mm. 224–62, with D as a non-chord tone</w:t>
      </w:r>
    </w:p>
    <w:p w14:paraId="187D6B71" w14:textId="7B8E6FDA" w:rsidR="002565C0" w:rsidRPr="002565C0" w:rsidRDefault="002565C0" w:rsidP="002565C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bookmarkStart w:id="0" w:name="_GoBack"/>
      <w:r w:rsidRPr="002565C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1AED161" wp14:editId="25173893">
            <wp:extent cx="6858000" cy="7566660"/>
            <wp:effectExtent l="0" t="0" r="0" b="0"/>
            <wp:docPr id="1" name="Picture 1" descr="http://mtosmt.org/issues/mto.18.24.2/bazayev_ex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issues/mto.18.24.2/bazayev_ex6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512FF6" w14:textId="3743C189" w:rsidR="00F664B5" w:rsidRPr="00AA617B" w:rsidRDefault="00F664B5" w:rsidP="002565C0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  <w:sz w:val="20"/>
          <w:szCs w:val="20"/>
        </w:rPr>
      </w:pPr>
    </w:p>
    <w:sectPr w:rsidR="00F664B5" w:rsidRPr="00AA617B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C4"/>
    <w:rsid w:val="000468C7"/>
    <w:rsid w:val="000A32F4"/>
    <w:rsid w:val="000E77D7"/>
    <w:rsid w:val="000F7021"/>
    <w:rsid w:val="00140941"/>
    <w:rsid w:val="00141362"/>
    <w:rsid w:val="001450CD"/>
    <w:rsid w:val="001575DB"/>
    <w:rsid w:val="001871D1"/>
    <w:rsid w:val="00195166"/>
    <w:rsid w:val="002151DC"/>
    <w:rsid w:val="00222162"/>
    <w:rsid w:val="00227E5A"/>
    <w:rsid w:val="00245C2B"/>
    <w:rsid w:val="002565C0"/>
    <w:rsid w:val="002945C8"/>
    <w:rsid w:val="002C156B"/>
    <w:rsid w:val="002E7B9A"/>
    <w:rsid w:val="002E7E66"/>
    <w:rsid w:val="003125AF"/>
    <w:rsid w:val="003150EE"/>
    <w:rsid w:val="003B1BC3"/>
    <w:rsid w:val="003C567D"/>
    <w:rsid w:val="003D02D7"/>
    <w:rsid w:val="003E467C"/>
    <w:rsid w:val="004333B3"/>
    <w:rsid w:val="00453734"/>
    <w:rsid w:val="004622B1"/>
    <w:rsid w:val="004842C3"/>
    <w:rsid w:val="00484DDF"/>
    <w:rsid w:val="004B2AC4"/>
    <w:rsid w:val="0050378B"/>
    <w:rsid w:val="00505D40"/>
    <w:rsid w:val="00535549"/>
    <w:rsid w:val="00554855"/>
    <w:rsid w:val="005621C7"/>
    <w:rsid w:val="0057526E"/>
    <w:rsid w:val="00603364"/>
    <w:rsid w:val="00605140"/>
    <w:rsid w:val="00621D49"/>
    <w:rsid w:val="006359B6"/>
    <w:rsid w:val="00686AC4"/>
    <w:rsid w:val="00697FC6"/>
    <w:rsid w:val="006A5145"/>
    <w:rsid w:val="006C1EF7"/>
    <w:rsid w:val="006C7404"/>
    <w:rsid w:val="006F4B77"/>
    <w:rsid w:val="00742FF3"/>
    <w:rsid w:val="0074558A"/>
    <w:rsid w:val="00756400"/>
    <w:rsid w:val="007620FA"/>
    <w:rsid w:val="00765AC7"/>
    <w:rsid w:val="007918C4"/>
    <w:rsid w:val="007B0C18"/>
    <w:rsid w:val="007E322A"/>
    <w:rsid w:val="007F5930"/>
    <w:rsid w:val="00807ABE"/>
    <w:rsid w:val="00820906"/>
    <w:rsid w:val="00836EF0"/>
    <w:rsid w:val="00873057"/>
    <w:rsid w:val="008A2CD1"/>
    <w:rsid w:val="008C44A5"/>
    <w:rsid w:val="008E60D0"/>
    <w:rsid w:val="008F502A"/>
    <w:rsid w:val="008F7958"/>
    <w:rsid w:val="0091530E"/>
    <w:rsid w:val="00915FFF"/>
    <w:rsid w:val="00927219"/>
    <w:rsid w:val="0094508E"/>
    <w:rsid w:val="00962EEB"/>
    <w:rsid w:val="0096622F"/>
    <w:rsid w:val="00992EFC"/>
    <w:rsid w:val="009B0D3F"/>
    <w:rsid w:val="009E0597"/>
    <w:rsid w:val="00A22927"/>
    <w:rsid w:val="00A833EA"/>
    <w:rsid w:val="00AA617B"/>
    <w:rsid w:val="00AC61C2"/>
    <w:rsid w:val="00AD0557"/>
    <w:rsid w:val="00AE01F6"/>
    <w:rsid w:val="00B00025"/>
    <w:rsid w:val="00B26A78"/>
    <w:rsid w:val="00B439ED"/>
    <w:rsid w:val="00B475BB"/>
    <w:rsid w:val="00B55F25"/>
    <w:rsid w:val="00B66370"/>
    <w:rsid w:val="00B66FE9"/>
    <w:rsid w:val="00B671F6"/>
    <w:rsid w:val="00BA40E6"/>
    <w:rsid w:val="00BE2C93"/>
    <w:rsid w:val="00C03186"/>
    <w:rsid w:val="00C43BED"/>
    <w:rsid w:val="00C813C7"/>
    <w:rsid w:val="00C829FA"/>
    <w:rsid w:val="00CB1231"/>
    <w:rsid w:val="00CD6372"/>
    <w:rsid w:val="00CF309A"/>
    <w:rsid w:val="00CF3C5E"/>
    <w:rsid w:val="00CF529F"/>
    <w:rsid w:val="00D64C89"/>
    <w:rsid w:val="00DA47E6"/>
    <w:rsid w:val="00E1454E"/>
    <w:rsid w:val="00E21B80"/>
    <w:rsid w:val="00E43C16"/>
    <w:rsid w:val="00E660A2"/>
    <w:rsid w:val="00E72DB5"/>
    <w:rsid w:val="00EA089E"/>
    <w:rsid w:val="00ED71E6"/>
    <w:rsid w:val="00F13D30"/>
    <w:rsid w:val="00F51C81"/>
    <w:rsid w:val="00F664B5"/>
    <w:rsid w:val="00F730B7"/>
    <w:rsid w:val="00F81141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8AC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  <w:style w:type="character" w:styleId="UnresolvedMention">
    <w:name w:val="Unresolved Mention"/>
    <w:basedOn w:val="DefaultParagraphFont"/>
    <w:uiPriority w:val="99"/>
    <w:semiHidden/>
    <w:unhideWhenUsed/>
    <w:rsid w:val="0079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1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8FC-5D41-42F7-B375-72D687D9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2018-07-02T06:25:00Z</dcterms:created>
  <dcterms:modified xsi:type="dcterms:W3CDTF">2018-07-02T06:25:00Z</dcterms:modified>
</cp:coreProperties>
</file>